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4E8A">
        <w:rPr>
          <w:rFonts w:ascii="Times New Roman" w:hAnsi="Times New Roman" w:cs="Times New Roman"/>
          <w:b/>
          <w:bCs/>
          <w:sz w:val="28"/>
          <w:szCs w:val="28"/>
        </w:rPr>
        <w:t>Состояние</w:t>
      </w:r>
    </w:p>
    <w:p w:rsid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4E8A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оперативной обстановки и основные результаты служебной деятельности Отделения МВД России по </w:t>
      </w:r>
      <w:proofErr w:type="spellStart"/>
      <w:r w:rsidRPr="00DA4E8A">
        <w:rPr>
          <w:rFonts w:ascii="Times New Roman" w:hAnsi="Times New Roman" w:cs="Times New Roman"/>
          <w:b/>
          <w:bCs/>
          <w:sz w:val="28"/>
          <w:szCs w:val="28"/>
        </w:rPr>
        <w:t>Чулымскому</w:t>
      </w:r>
      <w:proofErr w:type="spellEnd"/>
      <w:r w:rsidRPr="00DA4E8A">
        <w:rPr>
          <w:rFonts w:ascii="Times New Roman" w:hAnsi="Times New Roman" w:cs="Times New Roman"/>
          <w:b/>
          <w:bCs/>
          <w:sz w:val="28"/>
          <w:szCs w:val="28"/>
        </w:rPr>
        <w:t xml:space="preserve"> району за 12 месяцев 2024 года</w:t>
      </w: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>Административно-территориальное деление</w:t>
      </w:r>
    </w:p>
    <w:p w:rsid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Чулымский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район образован в 1924 году, входит в состав Новосибирской области. Административным центром является - город Чулым. На территории района расположены 52 сельских населенных пункта в составе одного городского и 13 сельских поселений.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>Географическое положение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Район в географическом отношении занимает центральное место в Новосибирской области. Протяженность с севера на юг - 203 км, с запада на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Бвосток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- 57 км. Территория района составляет 8559 кв. километра, в том числе сельхозугодья – 366300 га.</w:t>
      </w:r>
    </w:p>
    <w:p w:rsid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Район расположен на равнинной местности. По территории района с северо-востока на юго-запад протекает река Чулым. Административный центр (г. Чулым) удален на расстояние 114 км от областного центра по карте, по шоссейной дороге удаленность составляет 140 км. С северо-запада территория района граничит с Убинским районам, с северо-востока – с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Колыванским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районом, с востока – с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Коченевским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районом, с юго-запада – с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Кочковским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районом, с юга – с Ордынским районом, с запада - с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Каргатским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районом.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>Население</w:t>
      </w:r>
    </w:p>
    <w:p w:rsid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Население района на 01.01.2025 года составляет 18959 человек, из которых 8074 проживают в сельской местности, 10885 - в г. Чулыме, среди них русские, немцы, украинцы, татары и другие национальности. Ежегодно, в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Чулымском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районе отмечается сокращение численности населения, что в большей степени связано из-за естественной убыли населения. Так же, одной из основных причин является отсутствие рабочих мест.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 xml:space="preserve">Социально-экономическая характеристика </w:t>
      </w:r>
      <w:proofErr w:type="spellStart"/>
      <w:r w:rsidRPr="00DA4E8A">
        <w:rPr>
          <w:rFonts w:ascii="Times New Roman" w:hAnsi="Times New Roman" w:cs="Times New Roman"/>
          <w:sz w:val="28"/>
          <w:szCs w:val="28"/>
          <w:u w:val="single"/>
        </w:rPr>
        <w:t>Чулымского</w:t>
      </w:r>
      <w:proofErr w:type="spellEnd"/>
      <w:r w:rsidRPr="00DA4E8A"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На территории района расположены нефтеперекачивающая станция, узел связи, межрайонные электросети,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энергонадзор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, автоколонна, хлебоприемное предприятие, лесхоз. Функционируют филиалы Сбербанка, Левобережный,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СовкомБанка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Промышленное производство развито слабо. Основное направление экономической деятельности - сельское хозяйство (производство зерновых культур и выращивание скота). В настоящее время в районе действует три промышленных перерабатывающих предприятия – это ОАО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Маслосыркомбинат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Чулымский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Маслопром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>», ООО МПО «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Фоменское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>».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На территории района 98 малых предприятий, 526 индивидуальных предпринимателей, из них имеется 2 малых предприятия по выработке продовольственных товаров, в т.ч. 4 пекарни. Сеть общественного питания района включает в себя пять кафе и три столовые, общее количество посадочных мест – 340. Имеется три точки «быстрого питания». В районе действует 57 субъекта, </w:t>
      </w:r>
      <w:r w:rsidRPr="00DA4E8A">
        <w:rPr>
          <w:rFonts w:ascii="Times New Roman" w:hAnsi="Times New Roman" w:cs="Times New Roman"/>
          <w:sz w:val="28"/>
          <w:szCs w:val="28"/>
        </w:rPr>
        <w:lastRenderedPageBreak/>
        <w:t xml:space="preserve">занимающихся оказанием бытовых услуг населению, всего в этой отрасли занято 135 человек. 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Достаточно развита торговая деятельность, в основном - частнопредпринимательская. На территории района 185 торговых точек, из них 170 принадлежат предпринимателям. Стационарных магазинов всего 184, из них в г. Чулыме - 108. В районном центре функционирует 1 стационарный рынок на 98 торговых места, из которых 66 - непродовольственные товары. В сельской местности в 9 населенных пунктах отсутствуют предприятия торговли.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Экономические показатели деятельности сельскохозяйственных предприятий и их финансовое состояние остаются нестабильными и характеризуются нехваткой собственных оборотных средств для сезонного финансирования производства. Темпы выбытия основных производственных фондов значительно превзошли темпы их обновления. Технический износ машинно-тракторного парка в отдельных хозяйствах на сегодняшний день равен 100%.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Дорожная сеть района развита слабо. Большая часть дорог без твердого покрытия. Протяженность автомобильных дорог составляет 643,7 км. С востока на запад проходит железная дорога, протяженностью 55 км, и автодорога «Иртыш» протяженностью 56 км. Имеется 2 вокзала (1 автомобильный, 1 железнодорожный). </w:t>
      </w:r>
    </w:p>
    <w:p w:rsid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Медицинское обслуживание жителей района осуществляется МУЗ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Чулымская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ЦРБ, в состав которого входят: центральная районная больница, поликлиника, 2 участковых больницы и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ФАПы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>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>Образование и научный потенциал</w:t>
      </w:r>
    </w:p>
    <w:p w:rsid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В районе имеется 20 общеобразовательных школы, 1 лицей (общая численность учащихся составляет 2368 человек, из них 1542 городских учащихся, 826 сельских), 1 аграрный лицей, 13 детских садов, 24 библиотеки, 13 культурно - досуговых центров, музыкальная школа, спортивный комплекс, стадион, детско-юношеский клуб по физической подготовке (ДЮКФП), дом детского творчества.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>Общественно - политическая ситуация</w:t>
      </w:r>
    </w:p>
    <w:p w:rsid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Общественно-политическая ситуация в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Чулымском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районе в течении 2024 года оставалась стабильной. На сегодняшний день на территории района официально зарегистрировано 2 политические партии, которые ведут активную политическую деятельность – это «Единая Россия» и «КПРФ». Также зарегистрированы и действуют при администрациях Муниципальных образований Советы ветеранов, Женсоветы. При Отделении МВД России по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Чулымскому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району действует Общественный совет. Зарегистрирована молодежная организация «Клуб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Чулымской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молодежи», организация которой направлена на реализацию социальных проектов здорового образа жизни и социальной активности молодежи.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>Общая характеристика оперативной обстановки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Принятые меры организационного и практического характера, за 12 месяцев 2024 года позволили в целом контролировать криминогенную обстановку и обеспечить ее стабильность. Вместе с тем, не по всем показателям удалось достичь желаемых результатов.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lastRenderedPageBreak/>
        <w:t>По итогам отчетного периода на территории района произошло снижение зарегистрированных преступлений на 5,0/% (всего 245), тяжких и особо тяжких составов сократилось на 18,5% (75) удельный вес которых составил 30,6%.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В общем числе зарегистрированных преступлений 54,2% составили преступные деяния, следствие по которым обязательно. Большая часть всех преступлений (69,3%) относится к категории средней и небольшой степени тяжести (170).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51,0% совершенных преступлений носит имущественный характер </w:t>
      </w:r>
      <w:proofErr w:type="gramStart"/>
      <w:r w:rsidRPr="00DA4E8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A4E8A">
        <w:rPr>
          <w:rFonts w:ascii="Times New Roman" w:hAnsi="Times New Roman" w:cs="Times New Roman"/>
          <w:sz w:val="28"/>
          <w:szCs w:val="28"/>
        </w:rPr>
        <w:t xml:space="preserve"> (кражи   55, мошенничества – 58, угоны – 11, разбойные нападения -1).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В массиве преступности имущественного блока общее число краж сократилось на 36,0% и составило 55 фактов. Меньше на 83,3% зарегистрировано квартирных краж/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Отмечается рост числа зарегистрированных мошенничеств на 75,8% (58), с использованием сети «Интернет» (-5,1%; 56), сотовой связи (- 17,4%; 19), незначительное снижение в сфере высоких технологий на 8,8% (73).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Не допущено: грабежей, однако зарегистрирован один факт убийства (+100,0); 4 факта умышленного причинения тяжкого вреда здоровью (-</w:t>
      </w:r>
      <w:proofErr w:type="gramStart"/>
      <w:r w:rsidRPr="00DA4E8A">
        <w:rPr>
          <w:rFonts w:ascii="Times New Roman" w:hAnsi="Times New Roman" w:cs="Times New Roman"/>
          <w:sz w:val="28"/>
          <w:szCs w:val="28"/>
        </w:rPr>
        <w:t xml:space="preserve">1;   </w:t>
      </w:r>
      <w:proofErr w:type="gramEnd"/>
      <w:r w:rsidRPr="00DA4E8A">
        <w:rPr>
          <w:rFonts w:ascii="Times New Roman" w:hAnsi="Times New Roman" w:cs="Times New Roman"/>
          <w:sz w:val="28"/>
          <w:szCs w:val="28"/>
        </w:rPr>
        <w:t xml:space="preserve">                  -20,0%), один факт изнасилования (+100,0%), 1 разбойное нападение (+100,0%).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В общественных местах зарегистрировано 45 (+60,7%) преступлений, в том числе 33 - на улицах, парках и площадях (+57,1%).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В социально-криминологической характеристике преступности отмечается снижение на 34,3%, количества преступлений, совершенных лицами в состоянии алкогольного опьянения (46), под воздействием наркотических и токсических веществ противоправных деяний не совершено.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60,8% составил удельный вес от всех расследованных преступлений, совершенных лицами, ранее совершавшими преступления (-21,8%; 93), в том числе ранее судимыми совершено 43 преступления (-6,5%).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В группе совершено 1 преступление (-80,0%), несовершеннолетними или при их участии допущено 7 противоправных деяний (-56,3%).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В отчетном периоде зарегистрировано 15 преступлений экономической направленности, 11 в том числе коррупционной направленности, из них: 12 преступлений следствие по которым обязательно (+1000,0%), 3 преступления </w:t>
      </w:r>
      <w:proofErr w:type="gramStart"/>
      <w:r w:rsidRPr="00DA4E8A">
        <w:rPr>
          <w:rFonts w:ascii="Times New Roman" w:hAnsi="Times New Roman" w:cs="Times New Roman"/>
          <w:sz w:val="28"/>
          <w:szCs w:val="28"/>
        </w:rPr>
        <w:t>следствие</w:t>
      </w:r>
      <w:proofErr w:type="gramEnd"/>
      <w:r w:rsidRPr="00DA4E8A">
        <w:rPr>
          <w:rFonts w:ascii="Times New Roman" w:hAnsi="Times New Roman" w:cs="Times New Roman"/>
          <w:sz w:val="28"/>
          <w:szCs w:val="28"/>
        </w:rPr>
        <w:t xml:space="preserve"> по которым не обязательно (+100,0%).</w:t>
      </w:r>
    </w:p>
    <w:p w:rsidR="00DA4E8A" w:rsidRPr="00DA4E8A" w:rsidRDefault="00DA4E8A" w:rsidP="00DA4E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>Раскрытие преступлений</w:t>
      </w:r>
    </w:p>
    <w:p w:rsid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Количество раскрытых преступлений сократилось на 10 и составило 157 фактов, тяжких и особо тяжких увеличилось на 32,5% (53). Доля расследованных преступлений данной категории составила 66,3% (в 2023 году – 52,6%). В целом доля всех расследованных преступлений незначительно увеличилась и составила 69,8% (67,9%).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Остаток нераскрытых преступлений по всем категориям составил 68 фактов (-13,9%; в количественном соотношении 11 преступлений), основную часть составляют преступления против собственности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          остались нераскрытыми:           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•</w:t>
      </w:r>
      <w:r w:rsidRPr="00DA4E8A">
        <w:rPr>
          <w:rFonts w:ascii="Times New Roman" w:hAnsi="Times New Roman" w:cs="Times New Roman"/>
          <w:sz w:val="28"/>
          <w:szCs w:val="28"/>
        </w:rPr>
        <w:tab/>
        <w:t>23 тяжких преступления (по ч.3 ст. 158 УКРФ – 10 преступлений, 1 по ст.207 УК РФ, по ч.3 ст.159 УК РФ – 7, ч.4 ст.159 УК РФ -3, ст.228.1 -1, ч.2 ст.222 УК РФ - 1);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DA4E8A">
        <w:rPr>
          <w:rFonts w:ascii="Times New Roman" w:hAnsi="Times New Roman" w:cs="Times New Roman"/>
          <w:sz w:val="28"/>
          <w:szCs w:val="28"/>
        </w:rPr>
        <w:tab/>
        <w:t>28 преступлений средней тяжести (14 преступлений по ч.2 ст.159 УК РФ, по ч.2 ст.158 УК РФ – 9 преступлений, ч.2 ст.167 УК РФ – 1, по ч.1 ст.163 УК РФ – 2, ч.2 ст.112 УК РФ – 1, ч.7 ст.222 УК РФ -1);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•</w:t>
      </w:r>
      <w:r w:rsidRPr="00DA4E8A">
        <w:rPr>
          <w:rFonts w:ascii="Times New Roman" w:hAnsi="Times New Roman" w:cs="Times New Roman"/>
          <w:sz w:val="28"/>
          <w:szCs w:val="28"/>
        </w:rPr>
        <w:tab/>
        <w:t>13 преступлений небольшой тяжести (по ч.1 ст.159 УК РФ – 6, ч.1 ст.158 УК РФ – 4, ч.1 ст. 244 УК РФ – 1, ч.1 ст.327 УК РФ);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•</w:t>
      </w:r>
      <w:r w:rsidRPr="00DA4E8A">
        <w:rPr>
          <w:rFonts w:ascii="Times New Roman" w:hAnsi="Times New Roman" w:cs="Times New Roman"/>
          <w:sz w:val="28"/>
          <w:szCs w:val="28"/>
        </w:rPr>
        <w:tab/>
        <w:t>4 преступления особо тяжкой категории (по ст.228.1 УК РФ).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Раскрыто 7 преступлений прошлых лет (АППГ - 7).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Из общего числа зарегистрированных преступных посягательств, сократилось с 164 до 133 фактов (- 18,9%) количество преступлений </w:t>
      </w:r>
      <w:proofErr w:type="gramStart"/>
      <w:r w:rsidRPr="00DA4E8A">
        <w:rPr>
          <w:rFonts w:ascii="Times New Roman" w:hAnsi="Times New Roman" w:cs="Times New Roman"/>
          <w:sz w:val="28"/>
          <w:szCs w:val="28"/>
        </w:rPr>
        <w:t>следствие</w:t>
      </w:r>
      <w:proofErr w:type="gramEnd"/>
      <w:r w:rsidRPr="00DA4E8A">
        <w:rPr>
          <w:rFonts w:ascii="Times New Roman" w:hAnsi="Times New Roman" w:cs="Times New Roman"/>
          <w:sz w:val="28"/>
          <w:szCs w:val="28"/>
        </w:rPr>
        <w:t xml:space="preserve"> по которым обязательно. 75 преступлений раскрыто (-6; -7,4%), нераскрытыми остались 51 преступление (-14; -21,5%). Доля расследованных составила 59,5% (в 2023 году составляла 55,5%).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 Зарегистрировано 112 преступлений, следствие по которым не обязательно          </w:t>
      </w:r>
      <w:proofErr w:type="gramStart"/>
      <w:r w:rsidRPr="00DA4E8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DA4E8A">
        <w:rPr>
          <w:rFonts w:ascii="Times New Roman" w:hAnsi="Times New Roman" w:cs="Times New Roman"/>
          <w:sz w:val="28"/>
          <w:szCs w:val="28"/>
        </w:rPr>
        <w:t xml:space="preserve">+18; +19,1%), раскрыто 82 преступления данной категории (-4; -4,7%), 17 остались нераскрытыми. Доля расследованных составила 82,8% (в 2023 году – 86,0%).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В общественных местах совершено 45 преступлений (+17; +37,7%), 33 преступления на улице (+12; +60,0%), из них 10 преступлений остались не раскрытыми (в 2023 году таких было 7).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>Состояние учетно-регистрационной дисциплины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С начала 2024 года на территории района зарегистрировано 3630 заявления, сообщения и иной информации о преступлениях, административных правонарушениях, о происшествиях (-117). Рассмотрено заявлений (сообщений) о преступлениях 1041 (-179), из них в срок до трех суток 600 (57,6%), от 3-х до 10-ти 286 (27,4%), до 30 суток 155 (14,8 %). Незначительно снизилась нагрузка на личный состав по разрешению сообщений и составила - 53,38 (в 2023 году нагрузка составляла - 55,10).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Сотрудниками ОВД вынесены 567 постановлений об отказе в возбуждении уголовного дела, из них сотрудниками ОУУП – 199, ПДН – 55, ГД – 135, СО – 135, ОУР – 36,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ГЭБиПК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– 7.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Из общего количества отказных материалов прокурором района возвращено на дополнительную проверку 231 материал с отменой (повторно - 115). Отмененных постановлений об отказе в возбуждении уголовного дела с последующим возбуждением уголовного дела – 17, из них: по инициативе ОВД – 15, прокуратуры – 2.  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проводится работа по выявлению незарегистрированных сообщений, путем прослушивания речевого регистратора, о чем рапортом при приеме и сдаче дежурства ответственный от руководства ОМВД докладывает начальнику. При проведении сверок записей речевого регистратора укрытых сообщений за 12 месяцев 2024 года в ОМВД России по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Чулымскому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району не выявлено.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>Сведения о розыске лиц, скрывшихся от органов следствия,</w:t>
      </w:r>
      <w:r w:rsidRPr="00DA4E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A4E8A">
        <w:rPr>
          <w:rFonts w:ascii="Times New Roman" w:hAnsi="Times New Roman" w:cs="Times New Roman"/>
          <w:sz w:val="28"/>
          <w:szCs w:val="28"/>
          <w:u w:val="single"/>
        </w:rPr>
        <w:t>дознания и суда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ab/>
        <w:t>В текущем году устанавливалось местонахождение 19 человек (АППГ – 14), 13 объявлено в текущем году, разыскано – 12.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lastRenderedPageBreak/>
        <w:t xml:space="preserve">- 11 преступников (6 АППГ), в текущем году объявлено 10, 10 прекращено, из них 10 разыскано, на остатке 1 (АППГ - 1), процент составил 90,91% (АППГ 66,67%).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- 8 лиц без вести пропавших (АППГ - 8), в текущем году объявлено </w:t>
      </w:r>
      <w:proofErr w:type="gramStart"/>
      <w:r w:rsidRPr="00DA4E8A">
        <w:rPr>
          <w:rFonts w:ascii="Times New Roman" w:hAnsi="Times New Roman" w:cs="Times New Roman"/>
          <w:sz w:val="28"/>
          <w:szCs w:val="28"/>
        </w:rPr>
        <w:t xml:space="preserve">3,   </w:t>
      </w:r>
      <w:proofErr w:type="gramEnd"/>
      <w:r w:rsidRPr="00DA4E8A">
        <w:rPr>
          <w:rFonts w:ascii="Times New Roman" w:hAnsi="Times New Roman" w:cs="Times New Roman"/>
          <w:sz w:val="28"/>
          <w:szCs w:val="28"/>
        </w:rPr>
        <w:t xml:space="preserve">                           3 прекращено, разыскан 2, процент – 25,0% (АППГ 37,50%).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>Борьба с незаконным оборотом оружия, боеприпасов, ВВ и ВУ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В ходе проводимой работы по линии незаконного оборота оружия и боеприпасов, получено 14 информаций в ходе реализации выявлено и задокументировано 9 преступлений связанных с незаконным оборотом оружия, боеприпасов и взрывчатых веществ, 8 возбужденных уголовных дел направлено в суд, 1 в перспективе направления в январе 2025 года.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Также в рамках уголовных дел 2023 и 2024 годов зарегистрировано 7 материалов процессуальной проверки, по которым отказано в возбуждении уголовных дел по не реабилитирующим основаниям (учетные преступления).  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В рамках профилактических мероприятий, на административных участках в текущем году, при проверке за нарушения правил хранения изъято 20 огнестрельных оружий и 17 патронов у жителей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района. Составлено 7 административных протоколов за незаконное хранение огнестрельного оружия.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>Предварительное следствие и осуществление дознания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За истекший период на территории района зарегистрировано 133 преступления, предварительное следствие по которым обязательно (-18,9%).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В производстве следственного отделения находилось 243 уголовных дел                </w:t>
      </w:r>
      <w:proofErr w:type="gramStart"/>
      <w:r w:rsidRPr="00DA4E8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DA4E8A">
        <w:rPr>
          <w:rFonts w:ascii="Times New Roman" w:hAnsi="Times New Roman" w:cs="Times New Roman"/>
          <w:sz w:val="28"/>
          <w:szCs w:val="28"/>
        </w:rPr>
        <w:t xml:space="preserve">292), принято к производству 220 уголовных дел (273). Окончено производством 64 (107) уголовных дела, направлено прокурору с обвинительным заключением 61 уголовное дело (83). Удельный вес направленных в суд, от числа оконченных составил 95,31% (2023 г. - 99,0%).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грузочные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показатели на 1 единицу следователя по оконченным делам и направленным в суд снизился и составила 7,62 (13,4).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За отчетный период по части 1 п.1 ст. 208 УПК РФ приостановлено 90 уголовных дел, одно уголовное дело по ч.1 п. 3.1 ст.208 УПК РФ (обвиняемый заключил контракт, убыл на СВО).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В отчетном периоде окончено с нарушенным сроком следствия – 21 уголовное дело (40), из них 14 возобновлено (27). Удельный вес оконченных с нарушенным сроком без возобновленных составил 10,93% (11,8%). Основными причинами нарушений сроков предварительного следствия все также остаются: длительность производства различных судебных экспертиз, необходимость получения ответов на запросы из различных организаций, значительный объем следственных действий.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Несмотря на принимаемые меры ухудшилось качество предварительного следствия. Прокурором для производства дополнительного следствия возвращено 5 уголовных дел (в 2023 году - 6), судом прокурору в порядке ст.237 УПК РФ возвращено 1 уголовное дело (АППГ – 0).  Как отрицательный момент, следует отметить, что за 2024 года судом оправдано 3 лица, из них: по двум в связи с отсутствием в деяниях состава преступления, по одному в связи с вынесением отрицательного вердикта коллегией присяжных заседателей.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Окончено 36 уголовных дел с материальным составом. Сумма причиненного ущерба по уголовным делам, оконченным </w:t>
      </w:r>
      <w:proofErr w:type="gramStart"/>
      <w:r w:rsidRPr="00DA4E8A">
        <w:rPr>
          <w:rFonts w:ascii="Times New Roman" w:hAnsi="Times New Roman" w:cs="Times New Roman"/>
          <w:sz w:val="28"/>
          <w:szCs w:val="28"/>
        </w:rPr>
        <w:t>следователями</w:t>
      </w:r>
      <w:proofErr w:type="gramEnd"/>
      <w:r w:rsidRPr="00DA4E8A">
        <w:rPr>
          <w:rFonts w:ascii="Times New Roman" w:hAnsi="Times New Roman" w:cs="Times New Roman"/>
          <w:sz w:val="28"/>
          <w:szCs w:val="28"/>
        </w:rPr>
        <w:t xml:space="preserve"> </w:t>
      </w:r>
      <w:r w:rsidRPr="00DA4E8A">
        <w:rPr>
          <w:rFonts w:ascii="Times New Roman" w:hAnsi="Times New Roman" w:cs="Times New Roman"/>
          <w:sz w:val="28"/>
          <w:szCs w:val="28"/>
        </w:rPr>
        <w:lastRenderedPageBreak/>
        <w:t xml:space="preserve">составила 19.825.318,3 рублей, изъято похищенного на сумму 995.846 рублей, добровольно возмещено подозреваемыми (обвиняемыми) 8.885.830,64 рублей. Процент возмещения ущерба по оконченным уголовным делам составил 49,7% (в 2023 – 37,26%).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За 12 месяцев 2024 года на территории района зарегистрировано 112 (+16,0%) преступлений, по которым предварительное следствие не обязательно. В производстве группы дознания находилось 135 уголовных дел (в 2023 г. - 106). Количество оконченных уголовных дел составило 64, из них 8 уголовных дел переданы из МО «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Каргатский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>» (в 2023 году окончено 63 уголовных дела на 75 эпизодов). В суд направлено 61 уголовное дело (57). Прекращено 3 уголовных дела, из них одно повторно (в 2023 году 6). Удельный вес направленных в суд от числа оконченных составил 95,3%.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 В сокращенной форме дознания в суд дела не направлялись (в 2023 - 3). Окончено с нарушенным сроком дознания 22 уголовных дела (в 2023 - 19), удельный вес составил 34,4. Причины продления можно назвать объективными, большинство случаев </w:t>
      </w:r>
      <w:proofErr w:type="gramStart"/>
      <w:r w:rsidRPr="00DA4E8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A4E8A">
        <w:rPr>
          <w:rFonts w:ascii="Times New Roman" w:hAnsi="Times New Roman" w:cs="Times New Roman"/>
          <w:sz w:val="28"/>
          <w:szCs w:val="28"/>
        </w:rPr>
        <w:t xml:space="preserve"> проведение судебно-медицинских, психиатрических, наркологических и биологических экспертиз. К субъективным причинам можно отнести – низкая интенсивность проведения следственных действий, которая приводит к необоснованному продлению процессуальных сроков дознания, а также нарушение законности, вследствие чего уголовные дела возвращаются прокурором.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За отчетный период для производства дополнительного дознания прокурором возвращено 2 уголовных дела (в 2023 году – 2), в порядке ст.237 УПК РФ дела не возвращались (АППГ – 1). По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>. 1-3 части 1 ст.208 УПК РФ приостановлено 33 уголовных дела (АППГ - 19).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По оконченным уголовным делам с материальным составом причинен имущественный ущерб на сумму 467.000 рублей, возмещено 361.000 рублей, процент возмещения составил 77,3% (в 2023 году 46,6%). Наложен арест на имущество на 21.000 рублей.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4E8A">
        <w:rPr>
          <w:rFonts w:ascii="Times New Roman" w:hAnsi="Times New Roman" w:cs="Times New Roman"/>
          <w:sz w:val="28"/>
          <w:szCs w:val="28"/>
          <w:u w:val="single"/>
        </w:rPr>
        <w:t>Противодействие незаконному обороту наркотических средств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На территории района в отчетном периоде силами подразделений Отделения проводились рейдовые мероприятия, направленные на отработку лиц, склонных к употреблению наркотических средств, мест концентрации наркоманов и возможного приобретения наркотических средств, в результате выявлено и зарегистрировано 13 преступлений, предусмотренных ст. 228 УК РФ (в 2023 году – 25; - 48,0%).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Из незаконного оборота изъято 2962,0 гр. марихуаны и 93,0 гр. синтетического наркотика αРVР (в 2023 году было изъято 2200,8 гр. марихуаны; гашиш – 1714,28; гашишного масла - 222,21; 8557,9 гр. синтетического наркотика αРVР).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По результатам отчетного периода на профилактическом учете в ОВД состоит 5 лиц, на которых судом возложена обязанность пройти диагностику, профилактические мероприятия, лечение от наркомании или социальную реабилитацию в связи с потреблением наркотических средств или психотропных веществ без назначения врача, из них возложенную судом обязанность выполняют все 5 лиц.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lastRenderedPageBreak/>
        <w:t xml:space="preserve">Следует отметить, что на территории района выявлены и зарегистрированы 9 фактов (2023 год - 17) связанные со сбытом наркотических средств, возбуждены уголовные дела.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В рамках деятельности по профилактике наркопреступности и немедицинского потребления наркотических средств и психотропных веществ выявлены и задокументированы 2 административных материала, связанные с незаконным оборотом наркотических веществ, предусмотренный ч.1 ст.6.9 КоАП РФ (в 2023 году - 8 а/п, связанные с незаконным оборотом наркотических веществ, предусмотренные ст.6.9 КоАП РФ - 6, по ст.6.9.1 КоАП РФ – 2).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>Противодействие экономической преступности и коррупции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Принимаемые организационные меры позволили в целом переломить ситуацию, в итоге на учет поставлено 15 преступлений экономической направленности, из них 11 в том числе коррупционной направленности следствие по которым обязательно, предусмотренные ч.3 ст.159 УК РФ и одно преступление по ч.1 ст.187 УК РФ.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Зарегистрировано 3 преступления </w:t>
      </w:r>
      <w:proofErr w:type="gramStart"/>
      <w:r w:rsidRPr="00DA4E8A">
        <w:rPr>
          <w:rFonts w:ascii="Times New Roman" w:hAnsi="Times New Roman" w:cs="Times New Roman"/>
          <w:sz w:val="28"/>
          <w:szCs w:val="28"/>
        </w:rPr>
        <w:t>следствие</w:t>
      </w:r>
      <w:proofErr w:type="gramEnd"/>
      <w:r w:rsidRPr="00DA4E8A">
        <w:rPr>
          <w:rFonts w:ascii="Times New Roman" w:hAnsi="Times New Roman" w:cs="Times New Roman"/>
          <w:sz w:val="28"/>
          <w:szCs w:val="28"/>
        </w:rPr>
        <w:t xml:space="preserve"> по которым не обязательно по ч.1 ст.159.2 УК РФ – 2, ч.1 ст.159.3 - 1 (+100,0%).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В настоящее время в производстве группы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ЭБиПК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наработок по материалам, имеющие признаки тяжких составов преступлений экономической и коррупционной направленности нет.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Отсутствуют результаты работы по выявлению преступлений, связанных с банковской деятельностью, не зарегистрировано фактов взяточничества. Причиной этого является отсутствие оперативно-значимой информации.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>Противодействие преступлениям, совершенным с использованием информационно-телекоммуникационных технологий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Зарегистрировано 73 преступления (-8,8%; -7), совершенных с использованием компьютерных и телекоммуникационных технологий.  Удельный вес указанных преступных деяний, в общем массиве преступлений, незначительно сократился и составил 39,7 (АППГ составлял 31,0). В основном эти преступления совершены с использованием или применением компьютерной техники.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Наиболее распространенными способами совершения преступлений остаются использование или применение сети «Интернет», всего зарегистрировано 56 фактов (-5,1%), с использованием средств мобильной связи в отчетном периоде зарегистрировано 19 преступлений (-17,4%).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Увеличилось общее число раскрытых преступлений, совершенных в сфере высоких технологий (+158,3%; 31), раскрываемость составила 41,9 доля (в 2023 году 18,9%).  В ходе расследования уголовных дел активно ведется работа с подсистемой ИБД-Ф «Дистанционное мошенничество». Устанавливаются аналогичные преступления и соединяются в одно производство уголовные дела. На сегодняшний день возбужденные уголовные дела данной категории находятся в производстве следственного отделения.</w:t>
      </w:r>
    </w:p>
    <w:p w:rsid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lastRenderedPageBreak/>
        <w:t>Профилактика правонарушений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района в состоянии опьянения зарегистрировано 46 преступлений (-34,3%), все совершены в алкогольном опьянении, под воздействием наркотических веществ не зарегистрировано.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В целях профилактики «пьяной» преступности сотрудниками полиции за появление в общественных местах в состоянии опьянения, потребление (распитие) алкогольной продукции в неустановленных местах выявлено 108 правонарушений (в 2023 году 43), все службой участковых уполномоченных полиции.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Основным фактором профилактики тяжких и особо тяжких преступлений является своевременное выявление и раскрытие преступлений превентивного характера. За истекший период выявлено 32 преступления данной категории                 </w:t>
      </w:r>
      <w:proofErr w:type="gramStart"/>
      <w:r w:rsidRPr="00DA4E8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DA4E8A">
        <w:rPr>
          <w:rFonts w:ascii="Times New Roman" w:hAnsi="Times New Roman" w:cs="Times New Roman"/>
          <w:sz w:val="28"/>
          <w:szCs w:val="28"/>
        </w:rPr>
        <w:t xml:space="preserve">в 2023 году 37).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На бытовой почве совершено 9 преступлений, из них 5 преступлений по ст.119 УК РФ, 2 преступления по ст.115 УК РФ, 1 по ст.112 УК РФ и 1 по ст.111 УК РФ (в прошлом году таких было -3).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Преступлений двойной превенции в сфере быта зарегистрировано 15 (АППГ – 26).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Участковыми уполномоченными выявлено 40 преступлений (2023 году - 56), в результате нагрузка на одного участкового составила 4,3 (по районам области 5,0), удельный вес составил 24,0% (по районам об. 27,0%).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За уклонение от административного надзора, а также за невыполнение ограничений, возложенных судом лицами, состоящими под административным надзором уголовные дела по ст.314 УК РФ не возбуждались (в 2023 году – возбуждено 7 уголовных дел: из них по части 1 ст.314.1 УК РФ - 5, по ч.2 ст.314.1 УК РФ – 2).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Всего на учете в ОВД состоит 26 лиц, осужденных за тяжкие и особо тяжкие преступления, у которых судимость остается не погашенной, формально подпадающих под действие ФЗ №64-ФЗ-2011 «Об административном надзоре за лицами, освобожденными из мест лишения свободы». В результате проводимой работы по инициативе ОМВД собраны материалы для установления административного надзора в отношении 6 лиц (1), дополнительные ограничен установлены 11 поднадзорным лицам (в 2023 году - 3), досрочно прекращенных нет, как и в прошлом году. За отчетный период 2024 года выявлено 59 (69) административных правонарушений, предусмотренных ст.19.24 КоАП РФ, в отношении 16 лиц.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Как отрицательный момент следует отметить, что поднадзорными лицами совершено 3 преступления (АППГ таких было 6). 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Произошло снижение подростковой преступности, который по итогам отчетного периода составил -56,3 (в количественном соотношении 7 против 16), удельный вес составил 4,7% (ср. областной – 4,6%). В совершении преступлений принимало участие 8 несовершеннолетних (14), удельный вес - 6,8% (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ср.обл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>. – 5,0%).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В группе с участием несовершеннолетних совершено 3 преступления, в 2023 году таких было 3.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 По линии несовершеннолетних запротоколировано всего 39 административных правонарушений (в 2023 году 9), из них: на родителей или </w:t>
      </w:r>
      <w:r w:rsidRPr="00DA4E8A">
        <w:rPr>
          <w:rFonts w:ascii="Times New Roman" w:hAnsi="Times New Roman" w:cs="Times New Roman"/>
          <w:sz w:val="28"/>
          <w:szCs w:val="28"/>
        </w:rPr>
        <w:lastRenderedPageBreak/>
        <w:t>законных представителей оформлено 32 материала (8); 7 в отношении несовершеннолетних (1).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Проводимый анализ показал, что к основным причинам совершения несовершеннолетними преступлений относится: социальная неустроенность подростков, незанятость, что способствует совершению ими преступлений для реализации своих материальных возможностей легким путем, а также уверенность несовершеннолетних в своей безнаказанности.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>Обеспечение безопасности дорожного движения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района допущено 18 дорожно-транспортных происшествий (в 2023 году – 19), получили различные травмы 26 человек (35), погибло 4 (7). ДТП с участием несовершеннолетних зарегистрировано 7 (4), с материальным ущербом 162 (148).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Мировым судьям направлено 197 (195) материалов об административных правонарушениях, по которым предусмотрено лишение специального права, административный арест либо штраф. Приняты меры в виде лишения прав управления к 37 водителям (44), административному аресту подвергнуто 17 участников дорожного движения (25). Процент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взыскаемости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составил – 89,7% (со скидкой 85,7%); 93,1% (в полном объеме), (ср. обл. – 90,5%).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В части контроля улично-дорожной сети района с должностными и юридическими лицами проделана следующая работа: проведено 20 консультаций, вынесено 100 предостережений, осуществлены профилактические визиты – 23. За отчетный период за нарушение правил содержания и обслуживания дорог составлено 8 протоколов об административных правонарушениях, привлечено к административной ответственности 14 физических лиц, 3 должностных лица (0), юридические лица не привлекались, как и в прошлом году.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С целью пропаганды безопасности дорожного движения сотрудниками ГИБДД проведено 27 бесед с водителями индивидуального автотранспорта, 347 бесед с детьми в учреждениях общего и дополнительного образования района, подготовлено и размещено 450 материалов в средства массовой информации, в том числе: 65 публикаций в «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Чулымской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газете», на сайт УГИБДД направлено 147 материалов, с информацией об изменениях в законодательстве в области БДД, о проводимых оперативно-профилактических мероприятиях, происшествия на дорогах. Проведены 4 районные комиссии по БДД 09.02.2024, 26.04.2024, 03.07.2024, 07.10.2023 на которых рассматривались вопросы по снижению аварийности и обустройству дорожными знаками на территории г. Чулыма и района, о готовности по содержанию дорог муниципальных образований в зимний и в весенне-летний периоды, для обеспечения дорожного движения, подведены итоги работы комиссии за отчетные периоды.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За отчетный период инспекторами ОГИБДД выявлено 2549 (3601) нарушений ПДД, из них грубых нарушений в том числе по ст.12.8-12.26 КоАП РФ – 37 (44), 4 правонарушения, предусмотренных ст.264 УК РФ (в 2023 году - 1).</w:t>
      </w:r>
    </w:p>
    <w:p w:rsid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>Миграционная ситуация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За 12 месяцев 2024 года на миграционный учет по месту пребывания поставлено 90 ИНГ (-36,6%). Основной целью въезда иностранных граждан на сегодняшний день остается «работа» (43,3% всех поставленных на учет по месту </w:t>
      </w:r>
      <w:r w:rsidRPr="00DA4E8A">
        <w:rPr>
          <w:rFonts w:ascii="Times New Roman" w:hAnsi="Times New Roman" w:cs="Times New Roman"/>
          <w:sz w:val="28"/>
          <w:szCs w:val="28"/>
        </w:rPr>
        <w:lastRenderedPageBreak/>
        <w:t>пребывания), с целью «частная» поставлено на миграционный учет 31 иностранный гражданин, что составляет 34,4% от общего числа.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Основные миграционные потоки формируют граждане: Узбекистана - 24 (26,6%), Таджикистана - 11 (13,3%), Кыргызстана – 5 (6,6%), Азербайджана – 20 (17,3%), Китая – 12 (13,3%), Германии – 8 (9,3%), Казахстан – 5 (6,6%), Армения - 1 (1,3%), США – 1 (1,3%), Грузия – 2 (2,9%), Беларусь – 3 (3,9%).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Необходимо отметить, что на территории г. Чулыма осуществляет свою деятельность ООО «Дерево Восток», где проживают 12 граждан Китая, все имеют действительный миграционный учет по месту пребывания до 24.11.2025.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за соблюдением иностранцами миграционного законодательства проведены проверочные мероприятия, все в местах пребывания (проживания) иностранных граждан. В результате проведенных мероприятий выявлено 46 нарушений миграционного законодательства Российской Федерации, предусмотренных Главой 18 КоАП РФ, наложено штрафов на общую сумму 103.000 рублей, взыскано 57.500 рублей. Удельный вес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взыскаемости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составил 57,3%.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В целом, существенного влияния на экономическую и социальную стабильность и общее состояние преступности на территории района миграционная обстановка не оказывает. Конфликтных, националистических проявлений со стороны местного населения к иностранным гражданам и лицам без гражданства не зафиксировано.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>Исполнение административного законодательства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Сотрудниками полиции (без учета административной практики ГИБДД и МП) за отчетный период 2024 года пресечено 488 административных правонарушений, в том числе посягающих на общественный порядок и общественную безопасность (377; +22,8%), все правонарушения пресечены участковыми уполномоченными полиции и сотрудниками по делам несовершеннолетних.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К числу наиболее распространенных правонарушений относятся: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- мелкое хулиганство (ч.1 ст.20.1 КоАП РФ), которое сократилось на 2,5%;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- распитие алкогольных напитков в общественных местах (ч.1 ст.20.20 КоАП РФ) увеличилось на 64,5% и составило 107 фактов;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- в отчетном периоде выявлен всего один факт появления в общественных местах в состоянии алкогольного опьянения (в 2023 году таких было 5);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- за неуплату административного штрафа в срок, предусмотренный КоАП РФ, по ч.1 ст.20.25 КоАП РФ (без учета МП и ГИБДД) привлечено 44 дебитора (+47,8%);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- на 29,2% больше рассмотренных протоколов об административных правонарушениях, предусмотренных ст. 6.1.1 КоАП РФ (24 против 17 в 2023 году).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По материалам об административных правонарушениях, оформленных должностными лицами полиции (без учета ГИБДД и МП), вынесено 234 (174) постановления о привлечении правонарушителей к административной ответственности в виде штрафа на общую сумму 198.170 рублей, взыскано 168.290 рублей, что составляет 84,9%. Эффективное использование технических возможностей модуля «Административная практика» СООП ИСОД МВД России оказывает положительное влияние на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взыскаемость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административных штрафов.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lastRenderedPageBreak/>
        <w:t>Так, в рамках электронного взаимодействия с оператором Государственной информационной системы о государственных и муниципальных платежах, своевременного поступает актуальная информация об исполнении наказания. Кроме того, имеется возможность получить данные о лицах, не оплативших штраф в установленный срок, для принятия мер воздействия.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Согласно приказа МВД России от 31.10.2013 №1040 «Вопросы оценки деятельности органов МВД России», процент взыскания административных штрафов, доля исполненных постановлений и удельный вес дебиторов, привлеченных к административной ответственности, от количества неоплаченных штрафов оценивается положительно, если превышает 70%, в нашем случае эти цифры следующие: 84,9%, 77,4% и 54,5%.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4E8A">
        <w:rPr>
          <w:rFonts w:ascii="Times New Roman" w:hAnsi="Times New Roman" w:cs="Times New Roman"/>
          <w:sz w:val="28"/>
          <w:szCs w:val="28"/>
          <w:u w:val="single"/>
        </w:rPr>
        <w:t>Работа с кадрами, состояние дисциплины и законности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Штатная численность Отделения МВД России по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Чулымскому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району по состоянию на 01.01.2025 составляет 110,5 единиц, в том числе 98 аттестованного л/с, работников – 7,5, ФГГС – 5 единиц. Некомплект аттестованного личного состава составляет 17 ед. или 17,2%.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087"/>
        <w:gridCol w:w="2552"/>
        <w:gridCol w:w="1263"/>
        <w:gridCol w:w="45"/>
        <w:gridCol w:w="1109"/>
      </w:tblGrid>
      <w:tr w:rsidR="00DA4E8A" w:rsidRPr="00C56812" w:rsidTr="00DA4E8A">
        <w:trPr>
          <w:trHeight w:val="327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jc w:val="center"/>
              <w:rPr>
                <w:i/>
              </w:rPr>
            </w:pPr>
            <w:r w:rsidRPr="00C56812">
              <w:rPr>
                <w:i/>
              </w:rPr>
              <w:t>№</w:t>
            </w:r>
          </w:p>
        </w:tc>
        <w:tc>
          <w:tcPr>
            <w:tcW w:w="4087" w:type="dxa"/>
            <w:vAlign w:val="center"/>
          </w:tcPr>
          <w:p w:rsidR="00DA4E8A" w:rsidRPr="00C56812" w:rsidRDefault="00DA4E8A" w:rsidP="009C583B">
            <w:pPr>
              <w:jc w:val="center"/>
              <w:rPr>
                <w:i/>
              </w:rPr>
            </w:pPr>
            <w:r w:rsidRPr="00C56812">
              <w:rPr>
                <w:i/>
              </w:rPr>
              <w:t>наименование подразделения</w:t>
            </w:r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  <w:rPr>
                <w:i/>
              </w:rPr>
            </w:pPr>
            <w:r w:rsidRPr="00C56812">
              <w:rPr>
                <w:i/>
              </w:rPr>
              <w:t>штатная численность (ед.)</w:t>
            </w:r>
          </w:p>
        </w:tc>
        <w:tc>
          <w:tcPr>
            <w:tcW w:w="1263" w:type="dxa"/>
            <w:vAlign w:val="center"/>
          </w:tcPr>
          <w:p w:rsidR="00DA4E8A" w:rsidRPr="00C56812" w:rsidRDefault="00DA4E8A" w:rsidP="009C583B">
            <w:pPr>
              <w:jc w:val="center"/>
              <w:rPr>
                <w:i/>
              </w:rPr>
            </w:pPr>
            <w:proofErr w:type="spellStart"/>
            <w:r w:rsidRPr="00C56812">
              <w:rPr>
                <w:i/>
              </w:rPr>
              <w:t>некомпл</w:t>
            </w:r>
            <w:proofErr w:type="spellEnd"/>
            <w:r w:rsidRPr="00C56812">
              <w:rPr>
                <w:i/>
              </w:rPr>
              <w:t>.</w:t>
            </w:r>
          </w:p>
        </w:tc>
        <w:tc>
          <w:tcPr>
            <w:tcW w:w="1154" w:type="dxa"/>
            <w:gridSpan w:val="2"/>
            <w:vAlign w:val="center"/>
          </w:tcPr>
          <w:p w:rsidR="00DA4E8A" w:rsidRPr="00C56812" w:rsidRDefault="00DA4E8A" w:rsidP="009C583B">
            <w:pPr>
              <w:jc w:val="center"/>
              <w:rPr>
                <w:i/>
              </w:rPr>
            </w:pPr>
            <w:r w:rsidRPr="00C56812">
              <w:rPr>
                <w:i/>
              </w:rPr>
              <w:t>%</w:t>
            </w:r>
          </w:p>
        </w:tc>
      </w:tr>
      <w:tr w:rsidR="00DA4E8A" w:rsidRPr="00C56812" w:rsidTr="009C583B">
        <w:trPr>
          <w:trHeight w:val="571"/>
          <w:jc w:val="center"/>
        </w:trPr>
        <w:tc>
          <w:tcPr>
            <w:tcW w:w="534" w:type="dxa"/>
            <w:vMerge w:val="restart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1</w:t>
            </w:r>
          </w:p>
        </w:tc>
        <w:tc>
          <w:tcPr>
            <w:tcW w:w="4087" w:type="dxa"/>
            <w:vAlign w:val="center"/>
          </w:tcPr>
          <w:p w:rsidR="00DA4E8A" w:rsidRPr="00C56812" w:rsidRDefault="00DA4E8A" w:rsidP="009C583B">
            <w:pPr>
              <w:rPr>
                <w:b/>
              </w:rPr>
            </w:pPr>
            <w:r w:rsidRPr="00C56812">
              <w:rPr>
                <w:b/>
              </w:rPr>
              <w:t>ВСЕГО</w:t>
            </w:r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</w:pPr>
            <w:r w:rsidRPr="00C56812">
              <w:t>110,5 (</w:t>
            </w:r>
            <w:proofErr w:type="spellStart"/>
            <w:r w:rsidRPr="00C56812">
              <w:t>ат</w:t>
            </w:r>
            <w:proofErr w:type="spellEnd"/>
            <w:r w:rsidRPr="00C56812">
              <w:t xml:space="preserve">. л/с - 98, </w:t>
            </w:r>
          </w:p>
          <w:p w:rsidR="00DA4E8A" w:rsidRPr="00C56812" w:rsidRDefault="00DA4E8A" w:rsidP="009C583B">
            <w:pPr>
              <w:jc w:val="center"/>
            </w:pPr>
            <w:r w:rsidRPr="00C56812">
              <w:t>в/н -7,5, ФГГС - 5)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</w:pP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jc w:val="center"/>
            </w:pPr>
          </w:p>
        </w:tc>
      </w:tr>
      <w:tr w:rsidR="00DA4E8A" w:rsidRPr="00C56812" w:rsidTr="009C583B">
        <w:trPr>
          <w:trHeight w:val="365"/>
          <w:jc w:val="center"/>
        </w:trPr>
        <w:tc>
          <w:tcPr>
            <w:tcW w:w="534" w:type="dxa"/>
            <w:vMerge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87" w:type="dxa"/>
            <w:vAlign w:val="center"/>
          </w:tcPr>
          <w:p w:rsidR="00DA4E8A" w:rsidRPr="00C56812" w:rsidRDefault="00DA4E8A" w:rsidP="009C583B">
            <w:pPr>
              <w:rPr>
                <w:b/>
              </w:rPr>
            </w:pPr>
            <w:r w:rsidRPr="00C56812">
              <w:rPr>
                <w:b/>
              </w:rPr>
              <w:t>В т.ч. аттестованные</w:t>
            </w:r>
          </w:p>
        </w:tc>
        <w:tc>
          <w:tcPr>
            <w:tcW w:w="2552" w:type="dxa"/>
            <w:vAlign w:val="center"/>
          </w:tcPr>
          <w:p w:rsidR="00DA4E8A" w:rsidRPr="00C56812" w:rsidRDefault="00DA4E8A" w:rsidP="009C583B">
            <w:pPr>
              <w:jc w:val="center"/>
            </w:pPr>
            <w:r w:rsidRPr="00C56812">
              <w:t>98</w:t>
            </w:r>
          </w:p>
        </w:tc>
        <w:tc>
          <w:tcPr>
            <w:tcW w:w="1308" w:type="dxa"/>
            <w:gridSpan w:val="2"/>
            <w:vAlign w:val="center"/>
          </w:tcPr>
          <w:p w:rsidR="00DA4E8A" w:rsidRPr="00C56812" w:rsidRDefault="00DA4E8A" w:rsidP="009C583B">
            <w:pPr>
              <w:jc w:val="center"/>
            </w:pPr>
            <w:r w:rsidRPr="00C56812">
              <w:t>17</w:t>
            </w:r>
          </w:p>
        </w:tc>
        <w:tc>
          <w:tcPr>
            <w:tcW w:w="1109" w:type="dxa"/>
            <w:vAlign w:val="center"/>
          </w:tcPr>
          <w:p w:rsidR="00DA4E8A" w:rsidRPr="00C56812" w:rsidRDefault="00DA4E8A" w:rsidP="009C583B">
            <w:pPr>
              <w:jc w:val="center"/>
            </w:pPr>
            <w:r w:rsidRPr="00C56812">
              <w:t>17,2%</w:t>
            </w:r>
          </w:p>
        </w:tc>
      </w:tr>
      <w:tr w:rsidR="00DA4E8A" w:rsidRPr="00C56812" w:rsidTr="009C583B">
        <w:trPr>
          <w:trHeight w:val="322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2</w:t>
            </w:r>
          </w:p>
        </w:tc>
        <w:tc>
          <w:tcPr>
            <w:tcW w:w="4087" w:type="dxa"/>
          </w:tcPr>
          <w:p w:rsidR="00DA4E8A" w:rsidRPr="00C56812" w:rsidRDefault="00DA4E8A" w:rsidP="009C583B">
            <w:pPr>
              <w:jc w:val="both"/>
            </w:pPr>
            <w:r w:rsidRPr="00C56812">
              <w:t>Руководство</w:t>
            </w:r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</w:pPr>
            <w:r w:rsidRPr="00C56812">
              <w:t>4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</w:pPr>
            <w:r w:rsidRPr="00C56812">
              <w:t>0</w:t>
            </w: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jc w:val="center"/>
            </w:pPr>
            <w:bookmarkStart w:id="0" w:name="_GoBack"/>
            <w:bookmarkEnd w:id="0"/>
          </w:p>
        </w:tc>
      </w:tr>
      <w:tr w:rsidR="00DA4E8A" w:rsidRPr="00C56812" w:rsidTr="009C583B">
        <w:trPr>
          <w:trHeight w:val="322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3</w:t>
            </w:r>
          </w:p>
        </w:tc>
        <w:tc>
          <w:tcPr>
            <w:tcW w:w="4087" w:type="dxa"/>
          </w:tcPr>
          <w:p w:rsidR="00DA4E8A" w:rsidRPr="00C56812" w:rsidRDefault="00DA4E8A" w:rsidP="009C583B">
            <w:pPr>
              <w:jc w:val="both"/>
            </w:pPr>
            <w:r w:rsidRPr="00C56812">
              <w:t>Отделение УР</w:t>
            </w:r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</w:pPr>
            <w:r w:rsidRPr="00C56812">
              <w:t>7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</w:pPr>
            <w:r w:rsidRPr="00C56812">
              <w:t>2</w:t>
            </w: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jc w:val="center"/>
            </w:pPr>
            <w:r w:rsidRPr="00C56812">
              <w:t>28,5%</w:t>
            </w:r>
          </w:p>
        </w:tc>
      </w:tr>
      <w:tr w:rsidR="00DA4E8A" w:rsidRPr="00C56812" w:rsidTr="009C583B">
        <w:trPr>
          <w:trHeight w:val="322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4</w:t>
            </w:r>
          </w:p>
        </w:tc>
        <w:tc>
          <w:tcPr>
            <w:tcW w:w="4087" w:type="dxa"/>
          </w:tcPr>
          <w:p w:rsidR="00DA4E8A" w:rsidRPr="00C56812" w:rsidRDefault="00DA4E8A" w:rsidP="009C583B">
            <w:pPr>
              <w:jc w:val="both"/>
            </w:pPr>
            <w:r w:rsidRPr="00C56812">
              <w:t>Группа по контролю за оборотом наркотиков</w:t>
            </w:r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</w:pPr>
            <w:r w:rsidRPr="00C56812">
              <w:t>2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</w:pPr>
            <w:r w:rsidRPr="00C56812">
              <w:t>1</w:t>
            </w: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jc w:val="center"/>
            </w:pPr>
            <w:r w:rsidRPr="00C56812">
              <w:t>5</w:t>
            </w:r>
            <w:r w:rsidRPr="00C56812">
              <w:rPr>
                <w:lang w:val="en-US"/>
              </w:rPr>
              <w:t>0</w:t>
            </w:r>
            <w:r w:rsidRPr="00C56812">
              <w:t>,0%</w:t>
            </w:r>
          </w:p>
        </w:tc>
      </w:tr>
      <w:tr w:rsidR="00DA4E8A" w:rsidRPr="00C56812" w:rsidTr="009C583B">
        <w:trPr>
          <w:trHeight w:val="322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5</w:t>
            </w:r>
          </w:p>
        </w:tc>
        <w:tc>
          <w:tcPr>
            <w:tcW w:w="4087" w:type="dxa"/>
          </w:tcPr>
          <w:p w:rsidR="00DA4E8A" w:rsidRPr="00C56812" w:rsidRDefault="00DA4E8A" w:rsidP="009C583B">
            <w:pPr>
              <w:jc w:val="both"/>
            </w:pPr>
            <w:r w:rsidRPr="00C56812">
              <w:t xml:space="preserve">Группа </w:t>
            </w:r>
            <w:proofErr w:type="spellStart"/>
            <w:r w:rsidRPr="00C56812">
              <w:t>ЭБиПК</w:t>
            </w:r>
            <w:proofErr w:type="spellEnd"/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</w:pPr>
            <w:r w:rsidRPr="00C56812">
              <w:t>2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</w:pPr>
            <w:r w:rsidRPr="00C56812">
              <w:t>0</w:t>
            </w: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jc w:val="center"/>
            </w:pPr>
          </w:p>
        </w:tc>
      </w:tr>
      <w:tr w:rsidR="00DA4E8A" w:rsidRPr="00C56812" w:rsidTr="009C583B">
        <w:trPr>
          <w:trHeight w:val="322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6</w:t>
            </w:r>
          </w:p>
        </w:tc>
        <w:tc>
          <w:tcPr>
            <w:tcW w:w="4087" w:type="dxa"/>
          </w:tcPr>
          <w:p w:rsidR="00DA4E8A" w:rsidRPr="00C56812" w:rsidRDefault="00DA4E8A" w:rsidP="009C583B">
            <w:pPr>
              <w:jc w:val="both"/>
            </w:pPr>
            <w:r w:rsidRPr="00C56812">
              <w:t xml:space="preserve">Отделение </w:t>
            </w:r>
            <w:proofErr w:type="spellStart"/>
            <w:r w:rsidRPr="00C56812">
              <w:t>УУПиПДН</w:t>
            </w:r>
            <w:proofErr w:type="spellEnd"/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</w:pPr>
            <w:r w:rsidRPr="00C56812">
              <w:t>18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</w:pPr>
            <w:r w:rsidRPr="00C56812">
              <w:t>5</w:t>
            </w: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ind w:hanging="63"/>
              <w:jc w:val="center"/>
            </w:pPr>
            <w:r w:rsidRPr="00C56812">
              <w:rPr>
                <w:lang w:val="en-US"/>
              </w:rPr>
              <w:t>2</w:t>
            </w:r>
            <w:r w:rsidRPr="00C56812">
              <w:t>7,7%</w:t>
            </w:r>
          </w:p>
        </w:tc>
      </w:tr>
      <w:tr w:rsidR="00DA4E8A" w:rsidRPr="00C56812" w:rsidTr="009C583B">
        <w:trPr>
          <w:trHeight w:val="322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7</w:t>
            </w:r>
          </w:p>
        </w:tc>
        <w:tc>
          <w:tcPr>
            <w:tcW w:w="4087" w:type="dxa"/>
          </w:tcPr>
          <w:p w:rsidR="00DA4E8A" w:rsidRPr="00C56812" w:rsidRDefault="00DA4E8A" w:rsidP="009C583B">
            <w:pPr>
              <w:jc w:val="both"/>
            </w:pPr>
            <w:r w:rsidRPr="00C56812">
              <w:t>ИВС</w:t>
            </w:r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</w:pPr>
            <w:r w:rsidRPr="00C56812">
              <w:t>15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</w:pPr>
            <w:r w:rsidRPr="00C56812">
              <w:t>2</w:t>
            </w: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jc w:val="center"/>
            </w:pPr>
            <w:r w:rsidRPr="00C56812">
              <w:t>11,1%</w:t>
            </w:r>
          </w:p>
        </w:tc>
      </w:tr>
      <w:tr w:rsidR="00DA4E8A" w:rsidRPr="00C56812" w:rsidTr="009C583B">
        <w:trPr>
          <w:trHeight w:val="322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8</w:t>
            </w:r>
          </w:p>
        </w:tc>
        <w:tc>
          <w:tcPr>
            <w:tcW w:w="4087" w:type="dxa"/>
          </w:tcPr>
          <w:p w:rsidR="00DA4E8A" w:rsidRPr="00C56812" w:rsidRDefault="00DA4E8A" w:rsidP="009C583B">
            <w:pPr>
              <w:jc w:val="both"/>
            </w:pPr>
            <w:r w:rsidRPr="00C56812">
              <w:t>ИАЗ</w:t>
            </w:r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</w:pPr>
            <w:r w:rsidRPr="00C56812">
              <w:t>1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  <w:rPr>
                <w:lang w:val="en-US"/>
              </w:rPr>
            </w:pPr>
            <w:r w:rsidRPr="00C56812">
              <w:rPr>
                <w:lang w:val="en-US"/>
              </w:rPr>
              <w:t>0</w:t>
            </w: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jc w:val="center"/>
            </w:pPr>
          </w:p>
        </w:tc>
      </w:tr>
      <w:tr w:rsidR="00DA4E8A" w:rsidRPr="00C56812" w:rsidTr="009C583B">
        <w:trPr>
          <w:trHeight w:val="322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9</w:t>
            </w:r>
          </w:p>
        </w:tc>
        <w:tc>
          <w:tcPr>
            <w:tcW w:w="4087" w:type="dxa"/>
          </w:tcPr>
          <w:p w:rsidR="00DA4E8A" w:rsidRPr="00C56812" w:rsidRDefault="00DA4E8A" w:rsidP="009C583B">
            <w:pPr>
              <w:jc w:val="both"/>
            </w:pPr>
            <w:r w:rsidRPr="00C56812">
              <w:t>Дежурная часть</w:t>
            </w:r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  <w:rPr>
                <w:lang w:val="en-US"/>
              </w:rPr>
            </w:pPr>
            <w:r w:rsidRPr="00C56812">
              <w:t>9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</w:pPr>
            <w:r w:rsidRPr="00C56812">
              <w:t>0</w:t>
            </w: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jc w:val="center"/>
            </w:pPr>
          </w:p>
        </w:tc>
      </w:tr>
      <w:tr w:rsidR="00DA4E8A" w:rsidRPr="00C56812" w:rsidTr="009C583B">
        <w:trPr>
          <w:trHeight w:val="322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10</w:t>
            </w:r>
          </w:p>
        </w:tc>
        <w:tc>
          <w:tcPr>
            <w:tcW w:w="4087" w:type="dxa"/>
          </w:tcPr>
          <w:p w:rsidR="00DA4E8A" w:rsidRPr="00C56812" w:rsidRDefault="00DA4E8A" w:rsidP="009C583B">
            <w:pPr>
              <w:jc w:val="both"/>
            </w:pPr>
            <w:r w:rsidRPr="00C56812">
              <w:t>Группа дознания</w:t>
            </w:r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</w:pPr>
            <w:r w:rsidRPr="00C56812">
              <w:t>3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</w:pPr>
            <w:r w:rsidRPr="00C56812">
              <w:t>0</w:t>
            </w: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jc w:val="center"/>
            </w:pPr>
          </w:p>
        </w:tc>
      </w:tr>
      <w:tr w:rsidR="00DA4E8A" w:rsidRPr="00C56812" w:rsidTr="009C583B">
        <w:trPr>
          <w:trHeight w:val="322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11</w:t>
            </w:r>
          </w:p>
        </w:tc>
        <w:tc>
          <w:tcPr>
            <w:tcW w:w="4087" w:type="dxa"/>
          </w:tcPr>
          <w:p w:rsidR="00DA4E8A" w:rsidRPr="00C56812" w:rsidRDefault="00DA4E8A" w:rsidP="009C583B">
            <w:pPr>
              <w:jc w:val="both"/>
              <w:rPr>
                <w:lang w:val="en-US"/>
              </w:rPr>
            </w:pPr>
            <w:r w:rsidRPr="00C56812">
              <w:t xml:space="preserve">Группа </w:t>
            </w:r>
            <w:proofErr w:type="spellStart"/>
            <w:r w:rsidRPr="00C56812">
              <w:t>ДиР</w:t>
            </w:r>
            <w:proofErr w:type="spellEnd"/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</w:pPr>
            <w:r w:rsidRPr="00C56812">
              <w:t>1+1 в/н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</w:pPr>
            <w:r w:rsidRPr="00C56812">
              <w:t>1/0</w:t>
            </w: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jc w:val="center"/>
            </w:pPr>
            <w:r w:rsidRPr="00C56812">
              <w:t>100,0%</w:t>
            </w:r>
          </w:p>
        </w:tc>
      </w:tr>
      <w:tr w:rsidR="00DA4E8A" w:rsidRPr="00C56812" w:rsidTr="009C583B">
        <w:trPr>
          <w:trHeight w:val="322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12</w:t>
            </w:r>
          </w:p>
        </w:tc>
        <w:tc>
          <w:tcPr>
            <w:tcW w:w="4087" w:type="dxa"/>
          </w:tcPr>
          <w:p w:rsidR="00DA4E8A" w:rsidRPr="00C56812" w:rsidRDefault="00DA4E8A" w:rsidP="009C583B">
            <w:pPr>
              <w:jc w:val="both"/>
            </w:pPr>
            <w:r w:rsidRPr="00C56812">
              <w:t>Группа РЛС</w:t>
            </w:r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</w:pPr>
            <w:r w:rsidRPr="00C56812">
              <w:t>2+1 в/н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  <w:rPr>
                <w:lang w:val="en-US"/>
              </w:rPr>
            </w:pPr>
            <w:r w:rsidRPr="00C56812">
              <w:t>0</w:t>
            </w:r>
            <w:r w:rsidRPr="00C56812">
              <w:rPr>
                <w:lang w:val="en-US"/>
              </w:rPr>
              <w:t>/0</w:t>
            </w: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jc w:val="center"/>
              <w:rPr>
                <w:lang w:val="en-US"/>
              </w:rPr>
            </w:pPr>
          </w:p>
        </w:tc>
      </w:tr>
      <w:tr w:rsidR="00DA4E8A" w:rsidRPr="00C56812" w:rsidTr="009C583B">
        <w:trPr>
          <w:trHeight w:val="322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13</w:t>
            </w:r>
          </w:p>
        </w:tc>
        <w:tc>
          <w:tcPr>
            <w:tcW w:w="4087" w:type="dxa"/>
          </w:tcPr>
          <w:p w:rsidR="00DA4E8A" w:rsidRPr="00C56812" w:rsidRDefault="00DA4E8A" w:rsidP="009C583B">
            <w:pPr>
              <w:jc w:val="both"/>
            </w:pPr>
            <w:r w:rsidRPr="00C56812">
              <w:t>Штаб</w:t>
            </w:r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</w:pPr>
            <w:r w:rsidRPr="00C56812">
              <w:t>2+1 ФГГС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  <w:rPr>
                <w:lang w:val="en-US"/>
              </w:rPr>
            </w:pPr>
            <w:r w:rsidRPr="00C56812">
              <w:t>0</w:t>
            </w:r>
            <w:r w:rsidRPr="00C56812">
              <w:rPr>
                <w:lang w:val="en-US"/>
              </w:rPr>
              <w:t>/0</w:t>
            </w: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jc w:val="center"/>
            </w:pPr>
          </w:p>
        </w:tc>
      </w:tr>
      <w:tr w:rsidR="00DA4E8A" w:rsidRPr="00C56812" w:rsidTr="009C583B">
        <w:trPr>
          <w:trHeight w:val="322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14</w:t>
            </w:r>
          </w:p>
        </w:tc>
        <w:tc>
          <w:tcPr>
            <w:tcW w:w="4087" w:type="dxa"/>
          </w:tcPr>
          <w:p w:rsidR="00DA4E8A" w:rsidRPr="00C56812" w:rsidRDefault="00DA4E8A" w:rsidP="009C583B">
            <w:pPr>
              <w:jc w:val="both"/>
            </w:pPr>
            <w:r w:rsidRPr="00C56812">
              <w:t>Следственное отделение</w:t>
            </w:r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</w:pPr>
            <w:r w:rsidRPr="00C56812">
              <w:t>8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</w:pPr>
            <w:r w:rsidRPr="00C56812">
              <w:t>1</w:t>
            </w: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jc w:val="center"/>
            </w:pPr>
            <w:r w:rsidRPr="00C56812">
              <w:t>12,5</w:t>
            </w:r>
          </w:p>
        </w:tc>
      </w:tr>
      <w:tr w:rsidR="00DA4E8A" w:rsidRPr="00C56812" w:rsidTr="009C583B">
        <w:trPr>
          <w:trHeight w:val="322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15</w:t>
            </w:r>
          </w:p>
        </w:tc>
        <w:tc>
          <w:tcPr>
            <w:tcW w:w="4087" w:type="dxa"/>
          </w:tcPr>
          <w:p w:rsidR="00DA4E8A" w:rsidRPr="00C56812" w:rsidRDefault="00DA4E8A" w:rsidP="009C583B">
            <w:pPr>
              <w:jc w:val="both"/>
            </w:pPr>
            <w:r w:rsidRPr="00C56812">
              <w:t xml:space="preserve">Группа тылового обеспечения </w:t>
            </w:r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</w:pPr>
            <w:r w:rsidRPr="00C56812">
              <w:t>4+3,5 в/н</w:t>
            </w:r>
            <w:r w:rsidRPr="00C56812">
              <w:rPr>
                <w:lang w:val="en-US"/>
              </w:rPr>
              <w:t xml:space="preserve"> 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</w:pPr>
            <w:r w:rsidRPr="00C56812">
              <w:t xml:space="preserve">1/2 </w:t>
            </w: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jc w:val="center"/>
            </w:pPr>
            <w:r w:rsidRPr="00C56812">
              <w:t>25,0%</w:t>
            </w:r>
          </w:p>
        </w:tc>
      </w:tr>
      <w:tr w:rsidR="00DA4E8A" w:rsidRPr="00C56812" w:rsidTr="009C583B">
        <w:trPr>
          <w:trHeight w:val="322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16</w:t>
            </w:r>
          </w:p>
        </w:tc>
        <w:tc>
          <w:tcPr>
            <w:tcW w:w="4087" w:type="dxa"/>
          </w:tcPr>
          <w:p w:rsidR="00DA4E8A" w:rsidRPr="00C56812" w:rsidRDefault="00DA4E8A" w:rsidP="009C583B">
            <w:pPr>
              <w:jc w:val="both"/>
            </w:pPr>
            <w:r w:rsidRPr="00C56812">
              <w:t>Отделение по вопросам миграции</w:t>
            </w:r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</w:pPr>
            <w:r w:rsidRPr="00C56812">
              <w:t>1+2 ФГГС +1 в/н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</w:pPr>
            <w:r w:rsidRPr="00C56812">
              <w:t>0/0</w:t>
            </w: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jc w:val="center"/>
            </w:pPr>
          </w:p>
        </w:tc>
      </w:tr>
      <w:tr w:rsidR="00DA4E8A" w:rsidRPr="00C56812" w:rsidTr="009C583B">
        <w:trPr>
          <w:trHeight w:val="322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17</w:t>
            </w:r>
          </w:p>
        </w:tc>
        <w:tc>
          <w:tcPr>
            <w:tcW w:w="4087" w:type="dxa"/>
          </w:tcPr>
          <w:p w:rsidR="00DA4E8A" w:rsidRPr="00C56812" w:rsidRDefault="00DA4E8A" w:rsidP="009C583B">
            <w:pPr>
              <w:jc w:val="both"/>
            </w:pPr>
            <w:r w:rsidRPr="00C56812">
              <w:t>Отделение ГИБДД</w:t>
            </w:r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</w:pPr>
            <w:r w:rsidRPr="00C56812">
              <w:t xml:space="preserve">18+1 ФГГС 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</w:pPr>
            <w:r w:rsidRPr="00C56812">
              <w:t>4/0</w:t>
            </w: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jc w:val="center"/>
            </w:pPr>
            <w:r w:rsidRPr="00C56812">
              <w:rPr>
                <w:lang w:val="en-US"/>
              </w:rPr>
              <w:t>22</w:t>
            </w:r>
            <w:r w:rsidRPr="00C56812">
              <w:t>,2%</w:t>
            </w:r>
          </w:p>
        </w:tc>
      </w:tr>
      <w:tr w:rsidR="00DA4E8A" w:rsidRPr="00C56812" w:rsidTr="009C583B">
        <w:trPr>
          <w:trHeight w:val="322"/>
          <w:jc w:val="center"/>
        </w:trPr>
        <w:tc>
          <w:tcPr>
            <w:tcW w:w="534" w:type="dxa"/>
            <w:vAlign w:val="center"/>
          </w:tcPr>
          <w:p w:rsidR="00DA4E8A" w:rsidRPr="00C56812" w:rsidRDefault="00DA4E8A" w:rsidP="009C583B">
            <w:pPr>
              <w:contextualSpacing/>
              <w:jc w:val="center"/>
              <w:rPr>
                <w:rFonts w:eastAsia="Times New Roman"/>
              </w:rPr>
            </w:pPr>
            <w:r w:rsidRPr="00C56812">
              <w:rPr>
                <w:rFonts w:eastAsia="Times New Roman"/>
              </w:rPr>
              <w:t>18</w:t>
            </w:r>
          </w:p>
        </w:tc>
        <w:tc>
          <w:tcPr>
            <w:tcW w:w="4087" w:type="dxa"/>
          </w:tcPr>
          <w:p w:rsidR="00DA4E8A" w:rsidRPr="00C56812" w:rsidRDefault="00DA4E8A" w:rsidP="009C583B">
            <w:pPr>
              <w:jc w:val="both"/>
            </w:pPr>
            <w:r w:rsidRPr="00C56812">
              <w:t>Бухгалтерия</w:t>
            </w:r>
          </w:p>
        </w:tc>
        <w:tc>
          <w:tcPr>
            <w:tcW w:w="2552" w:type="dxa"/>
          </w:tcPr>
          <w:p w:rsidR="00DA4E8A" w:rsidRPr="00C56812" w:rsidRDefault="00DA4E8A" w:rsidP="009C583B">
            <w:pPr>
              <w:jc w:val="center"/>
            </w:pPr>
            <w:r w:rsidRPr="00C56812">
              <w:t>1/1 в/н +1 ФГГС</w:t>
            </w:r>
          </w:p>
        </w:tc>
        <w:tc>
          <w:tcPr>
            <w:tcW w:w="1263" w:type="dxa"/>
          </w:tcPr>
          <w:p w:rsidR="00DA4E8A" w:rsidRPr="00C56812" w:rsidRDefault="00DA4E8A" w:rsidP="009C583B">
            <w:pPr>
              <w:jc w:val="center"/>
            </w:pPr>
            <w:r w:rsidRPr="00C56812">
              <w:rPr>
                <w:lang w:val="en-US"/>
              </w:rPr>
              <w:t>0</w:t>
            </w:r>
            <w:r w:rsidRPr="00C56812">
              <w:t>/0/0</w:t>
            </w:r>
          </w:p>
        </w:tc>
        <w:tc>
          <w:tcPr>
            <w:tcW w:w="1154" w:type="dxa"/>
            <w:gridSpan w:val="2"/>
          </w:tcPr>
          <w:p w:rsidR="00DA4E8A" w:rsidRPr="00C56812" w:rsidRDefault="00DA4E8A" w:rsidP="009C583B">
            <w:pPr>
              <w:jc w:val="center"/>
            </w:pPr>
          </w:p>
        </w:tc>
      </w:tr>
    </w:tbl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Вакантными остаются должности: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государственный инспектор дорожного надзора ОГИБДД – 1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>,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инспектор ДПС отделения ДПС ГИБДД – 3 ед.,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следователь следственного отделения – 1 ед.,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старший инспектор направления по контролю за оборотом наркотиков – 1 ед.,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lastRenderedPageBreak/>
        <w:t>старший оперуполномоченный ОУР – 1 ед.,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оперуполномоченный ОУР – 1 ед.,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ОУУПиПДН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– 1 ед.,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старший инспектор ПДН ГПДН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ОУУПиПДН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– 1 ед.,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участковый уполномоченный – 2 ед.,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помощник участкового уполномоченного полиции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ОУУПиПДН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– 1 ед.,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дежурный группы режима спецчасти ИВС – 2 ед.,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инспектор-руководитель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ГДиР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– 1.,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специалист ГТО – 1 ед.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Гражданский персонал:</w:t>
      </w:r>
    </w:p>
    <w:p w:rsid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водитель ГТО – 2 ед.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       По итогам 12 месяцев 2024 года отмечается снижение числа фактов нарушений служебной дисциплины сотрудниками на 15,8% (с 95 до 82), и незначительное увеличение числа сотрудников, допустивших нарушения служебной дисциплины на 2,0% (с 49 до 48). Дорожно-транспортных происшествий, совершенных сотрудниками в состоянии опьянения не зафиксировано (2023 год – 0).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                В целях повышения результативности в оперативно-служебной деятельности, личному составу в предстоящем периоде необходимо сконцентрировать усилия на решении следующих задач: 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- особое внимание уделить раскрываемости преступлений и организации взаимодействия между подразделениями уголовного розыска, участковых уполномоченных, следствия и дознания;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        - руководителям подразделений обратить внимание на ежедневный контроль за полнотой и качеством сбора первоначальных материалов. Не допускать волокиту по материалам уголовно-процессуальных проверок;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- начальникам СО и ГД - во взаимодействии с ОУР, в целях возмещения ущерба потерпевшим, обеспечить своевременное выявление имущества, с целью наложения на него ареста; уделить особое внимание качеству и срокам расследования уголовных дел; принять меры по недопущению возвращения уголовных дел для дополнительного расследования и нарушению сроков следствия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идознания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>;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- начальнику ОУР – наметить конкретные оперативно - разыскные мероприятия направленные на раскрытие неочевидных преступлений, тяжкой и особо тяжкой категории; принять меры по раскрытию хищений с использованием средств сотовой связи, сети Интернет и противодействия преступлениям, совершаемым с использованием ИТТ. Изучить и проанализировать приостановленные уголовные дела категории «прошлых лет», перспективные к раскрытию преступления;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- начальнику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ОУУПиПДН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– еженедельно предусмотреть отработку административных участков, с целью выявления административных правонарушений, предусмотренных главой 20 КоАП РФ; преступлений превентивного характера, особое внимание уделить профилактике преступности в быту;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- начальнику ОГИБДД - в целях предупреждения ДТП продолжить проведение оперативно-профилактических мероприятий, направленных на предупреждение опасного поведения участников дорожного движения, </w:t>
      </w:r>
      <w:r w:rsidRPr="00DA4E8A">
        <w:rPr>
          <w:rFonts w:ascii="Times New Roman" w:hAnsi="Times New Roman" w:cs="Times New Roman"/>
          <w:sz w:val="28"/>
          <w:szCs w:val="28"/>
        </w:rPr>
        <w:lastRenderedPageBreak/>
        <w:t xml:space="preserve">выявление нарушений водителями скоростного режима, нарушений ПДД пешеходами; 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- ГРЛС, начальникам подразделений в целях устранения некомплекта, необходимо продолжить комплекс мер, направленных на привлечение граждан на службу в органы внутренних дел и комплектованию вакантных должностей.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Анализ результатов оперативно-служебной деятельности показал, что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требуется активизация работы по: 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- предупреждению и пресечению преступлений, совершенных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подучетными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лицами и попадающих под административный надзор;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 - предупреждению и пресечению преступлений, совершенных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несовершеннолетними в возрасте от 14 до 17 лет;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 -  повышению качества раскрытия и расследования уголовных дел, с целью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исключения прекращения их судом за отсутствием события, состава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>преступления, а также в связи с непричастностью.</w:t>
      </w:r>
    </w:p>
    <w:p w:rsidR="00DA4E8A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8AE" w:rsidRPr="00DA4E8A" w:rsidRDefault="00DA4E8A" w:rsidP="00DA4E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8A">
        <w:rPr>
          <w:rFonts w:ascii="Times New Roman" w:hAnsi="Times New Roman" w:cs="Times New Roman"/>
          <w:sz w:val="28"/>
          <w:szCs w:val="28"/>
        </w:rPr>
        <w:t xml:space="preserve">Группа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АПКиИО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Отделения МВД России по </w:t>
      </w:r>
      <w:proofErr w:type="spellStart"/>
      <w:r w:rsidRPr="00DA4E8A">
        <w:rPr>
          <w:rFonts w:ascii="Times New Roman" w:hAnsi="Times New Roman" w:cs="Times New Roman"/>
          <w:sz w:val="28"/>
          <w:szCs w:val="28"/>
        </w:rPr>
        <w:t>Чулымскому</w:t>
      </w:r>
      <w:proofErr w:type="spellEnd"/>
      <w:r w:rsidRPr="00DA4E8A">
        <w:rPr>
          <w:rFonts w:ascii="Times New Roman" w:hAnsi="Times New Roman" w:cs="Times New Roman"/>
          <w:sz w:val="28"/>
          <w:szCs w:val="28"/>
        </w:rPr>
        <w:t xml:space="preserve"> району</w:t>
      </w:r>
    </w:p>
    <w:sectPr w:rsidR="002618AE" w:rsidRPr="00DA4E8A" w:rsidSect="00DA4E8A">
      <w:footerReference w:type="default" r:id="rId6"/>
      <w:pgSz w:w="11906" w:h="16838"/>
      <w:pgMar w:top="709" w:right="707" w:bottom="56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39EE" w:rsidRDefault="003439EE" w:rsidP="00DA4E8A">
      <w:r>
        <w:separator/>
      </w:r>
    </w:p>
  </w:endnote>
  <w:endnote w:type="continuationSeparator" w:id="0">
    <w:p w:rsidR="003439EE" w:rsidRDefault="003439EE" w:rsidP="00DA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0826092"/>
      <w:docPartObj>
        <w:docPartGallery w:val="Page Numbers (Bottom of Page)"/>
        <w:docPartUnique/>
      </w:docPartObj>
    </w:sdtPr>
    <w:sdtContent>
      <w:p w:rsidR="00DA4E8A" w:rsidRDefault="00DA4E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A4E8A" w:rsidRDefault="00DA4E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39EE" w:rsidRDefault="003439EE" w:rsidP="00DA4E8A">
      <w:r>
        <w:separator/>
      </w:r>
    </w:p>
  </w:footnote>
  <w:footnote w:type="continuationSeparator" w:id="0">
    <w:p w:rsidR="003439EE" w:rsidRDefault="003439EE" w:rsidP="00DA4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8A"/>
    <w:rsid w:val="002618AE"/>
    <w:rsid w:val="003439EE"/>
    <w:rsid w:val="00A709CE"/>
    <w:rsid w:val="00DA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95709"/>
  <w15:chartTrackingRefBased/>
  <w15:docId w15:val="{41244136-4C1D-4A7B-AAE6-86B2FDCD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E8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E8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A4E8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DA4E8A"/>
  </w:style>
  <w:style w:type="paragraph" w:styleId="a6">
    <w:name w:val="footer"/>
    <w:basedOn w:val="a"/>
    <w:link w:val="a7"/>
    <w:uiPriority w:val="99"/>
    <w:unhideWhenUsed/>
    <w:rsid w:val="00DA4E8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DA4E8A"/>
  </w:style>
  <w:style w:type="paragraph" w:styleId="a8">
    <w:name w:val="Balloon Text"/>
    <w:basedOn w:val="a"/>
    <w:link w:val="a9"/>
    <w:uiPriority w:val="99"/>
    <w:semiHidden/>
    <w:unhideWhenUsed/>
    <w:rsid w:val="00DA4E8A"/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4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5100</Words>
  <Characters>29072</Characters>
  <Application>Microsoft Office Word</Application>
  <DocSecurity>0</DocSecurity>
  <Lines>242</Lines>
  <Paragraphs>68</Paragraphs>
  <ScaleCrop>false</ScaleCrop>
  <Company/>
  <LinksUpToDate>false</LinksUpToDate>
  <CharactersWithSpaces>34104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deputatov</dc:creator>
  <cp:keywords/>
  <dc:description/>
  <cp:lastModifiedBy>sovet deputatov</cp:lastModifiedBy>
  <cp:revision>1</cp:revision>
  <dcterms:created xsi:type="dcterms:W3CDTF">2025-04-15T02:13:00Z</dcterms:created>
  <dcterms:modified xsi:type="dcterms:W3CDTF">2025-04-15T02:23:00Z</dcterms:modified>
</cp:coreProperties>
</file>