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E8" w:rsidRDefault="00024CE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4CE8" w:rsidRDefault="00024CE8">
      <w:pPr>
        <w:pStyle w:val="ConsPlusNormal"/>
        <w:jc w:val="both"/>
        <w:outlineLvl w:val="0"/>
      </w:pPr>
    </w:p>
    <w:p w:rsidR="00024CE8" w:rsidRDefault="00024CE8">
      <w:pPr>
        <w:pStyle w:val="ConsPlusNormal"/>
        <w:outlineLvl w:val="0"/>
      </w:pPr>
      <w:r>
        <w:t>Зарегистрировано в Минюсте России 18 декабря 2019 г. N 56863</w:t>
      </w:r>
    </w:p>
    <w:p w:rsidR="00024CE8" w:rsidRDefault="00024C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4CE8" w:rsidRDefault="00024CE8">
      <w:pPr>
        <w:pStyle w:val="ConsPlusNormal"/>
      </w:pPr>
    </w:p>
    <w:p w:rsidR="00024CE8" w:rsidRDefault="00024CE8">
      <w:pPr>
        <w:pStyle w:val="ConsPlusTitle"/>
        <w:jc w:val="center"/>
      </w:pPr>
      <w:r>
        <w:t>МИНИСТЕРСТВО ФИНАНСОВ РОССИЙСКОЙ ФЕДЕРАЦИИ</w:t>
      </w:r>
    </w:p>
    <w:p w:rsidR="00024CE8" w:rsidRDefault="00024CE8">
      <w:pPr>
        <w:pStyle w:val="ConsPlusTitle"/>
        <w:jc w:val="center"/>
      </w:pPr>
    </w:p>
    <w:p w:rsidR="00024CE8" w:rsidRDefault="00024CE8">
      <w:pPr>
        <w:pStyle w:val="ConsPlusTitle"/>
        <w:jc w:val="center"/>
      </w:pPr>
      <w:r>
        <w:t>ПРИКАЗ</w:t>
      </w:r>
    </w:p>
    <w:p w:rsidR="00024CE8" w:rsidRDefault="00024CE8">
      <w:pPr>
        <w:pStyle w:val="ConsPlusTitle"/>
        <w:jc w:val="center"/>
      </w:pPr>
      <w:r>
        <w:t>от 21 ноября 2019 г. N 196н</w:t>
      </w:r>
    </w:p>
    <w:p w:rsidR="00024CE8" w:rsidRDefault="00024CE8">
      <w:pPr>
        <w:pStyle w:val="ConsPlusTitle"/>
        <w:jc w:val="center"/>
      </w:pPr>
    </w:p>
    <w:p w:rsidR="00024CE8" w:rsidRDefault="00024CE8">
      <w:pPr>
        <w:pStyle w:val="ConsPlusTitle"/>
        <w:jc w:val="center"/>
      </w:pPr>
      <w:r>
        <w:t>ОБ УТВЕРЖДЕНИИ ФЕДЕРАЛЬНОГО СТАНДАРТА</w:t>
      </w:r>
    </w:p>
    <w:p w:rsidR="00024CE8" w:rsidRDefault="00024CE8">
      <w:pPr>
        <w:pStyle w:val="ConsPlusTitle"/>
        <w:jc w:val="center"/>
      </w:pPr>
      <w:r>
        <w:t>ВНУТРЕННЕГО ФИНАНСОВОГО АУДИТА "ОПРЕДЕЛЕНИЯ, ПРИНЦИПЫ</w:t>
      </w:r>
    </w:p>
    <w:p w:rsidR="00024CE8" w:rsidRDefault="00024CE8">
      <w:pPr>
        <w:pStyle w:val="ConsPlusTitle"/>
        <w:jc w:val="center"/>
      </w:pPr>
      <w:r>
        <w:t>И ЗАДАЧИ ВНУТРЕННЕГО ФИНАНСОВОГО АУДИТА"</w:t>
      </w:r>
    </w:p>
    <w:p w:rsidR="00024CE8" w:rsidRDefault="00024CE8">
      <w:pPr>
        <w:pStyle w:val="ConsPlusNormal"/>
        <w:jc w:val="both"/>
      </w:pPr>
    </w:p>
    <w:p w:rsidR="00024CE8" w:rsidRDefault="00024CE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статьи 160.2-1</w:t>
        </w:r>
      </w:hyperlink>
      <w:r>
        <w:t xml:space="preserve"> и </w:t>
      </w:r>
      <w:hyperlink r:id="rId7" w:history="1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 приказываю: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внутреннего финансового аудита "Определения, принципы и задачи внутреннего финансового аудита".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2020 года.</w:t>
      </w:r>
    </w:p>
    <w:p w:rsidR="00024CE8" w:rsidRDefault="00024CE8">
      <w:pPr>
        <w:pStyle w:val="ConsPlusNormal"/>
        <w:ind w:firstLine="540"/>
        <w:jc w:val="both"/>
      </w:pPr>
    </w:p>
    <w:p w:rsidR="00024CE8" w:rsidRDefault="00024CE8">
      <w:pPr>
        <w:pStyle w:val="ConsPlusNormal"/>
        <w:jc w:val="right"/>
      </w:pPr>
      <w:r>
        <w:t>Первый заместитель</w:t>
      </w:r>
    </w:p>
    <w:p w:rsidR="00024CE8" w:rsidRDefault="00024CE8">
      <w:pPr>
        <w:pStyle w:val="ConsPlusNormal"/>
        <w:jc w:val="right"/>
      </w:pPr>
      <w:r>
        <w:t>Председателя Правительства</w:t>
      </w:r>
    </w:p>
    <w:p w:rsidR="00024CE8" w:rsidRDefault="00024CE8">
      <w:pPr>
        <w:pStyle w:val="ConsPlusNormal"/>
        <w:jc w:val="right"/>
      </w:pPr>
      <w:r>
        <w:t>Российской Федерации -</w:t>
      </w:r>
    </w:p>
    <w:p w:rsidR="00024CE8" w:rsidRDefault="00024CE8">
      <w:pPr>
        <w:pStyle w:val="ConsPlusNormal"/>
        <w:jc w:val="right"/>
      </w:pPr>
      <w:r>
        <w:t>Министр финансов</w:t>
      </w:r>
    </w:p>
    <w:p w:rsidR="00024CE8" w:rsidRDefault="00024CE8">
      <w:pPr>
        <w:pStyle w:val="ConsPlusNormal"/>
        <w:jc w:val="right"/>
      </w:pPr>
      <w:r>
        <w:t>Российской Федерации</w:t>
      </w:r>
    </w:p>
    <w:p w:rsidR="00024CE8" w:rsidRDefault="00024CE8">
      <w:pPr>
        <w:pStyle w:val="ConsPlusNormal"/>
        <w:jc w:val="right"/>
      </w:pPr>
      <w:r>
        <w:t>А.Г.СИЛУАНОВ</w:t>
      </w:r>
    </w:p>
    <w:p w:rsidR="00024CE8" w:rsidRDefault="00024CE8">
      <w:pPr>
        <w:pStyle w:val="ConsPlusNormal"/>
        <w:jc w:val="right"/>
      </w:pPr>
    </w:p>
    <w:p w:rsidR="00024CE8" w:rsidRDefault="00024CE8">
      <w:pPr>
        <w:pStyle w:val="ConsPlusNormal"/>
        <w:jc w:val="right"/>
      </w:pPr>
    </w:p>
    <w:p w:rsidR="00024CE8" w:rsidRDefault="00024CE8">
      <w:pPr>
        <w:pStyle w:val="ConsPlusNormal"/>
        <w:jc w:val="right"/>
      </w:pPr>
    </w:p>
    <w:p w:rsidR="00024CE8" w:rsidRDefault="00024CE8">
      <w:pPr>
        <w:pStyle w:val="ConsPlusNormal"/>
        <w:jc w:val="right"/>
      </w:pPr>
    </w:p>
    <w:p w:rsidR="00024CE8" w:rsidRDefault="00024CE8">
      <w:pPr>
        <w:pStyle w:val="ConsPlusNormal"/>
        <w:jc w:val="right"/>
      </w:pPr>
    </w:p>
    <w:p w:rsidR="00024CE8" w:rsidRDefault="00024CE8">
      <w:pPr>
        <w:pStyle w:val="ConsPlusNormal"/>
        <w:jc w:val="right"/>
        <w:outlineLvl w:val="0"/>
      </w:pPr>
      <w:r>
        <w:t>Утвержден</w:t>
      </w:r>
    </w:p>
    <w:p w:rsidR="00024CE8" w:rsidRDefault="00024CE8">
      <w:pPr>
        <w:pStyle w:val="ConsPlusNormal"/>
        <w:jc w:val="right"/>
      </w:pPr>
      <w:r>
        <w:t>приказом Министерства финансов</w:t>
      </w:r>
    </w:p>
    <w:p w:rsidR="00024CE8" w:rsidRDefault="00024CE8">
      <w:pPr>
        <w:pStyle w:val="ConsPlusNormal"/>
        <w:jc w:val="right"/>
      </w:pPr>
      <w:r>
        <w:t>Российской Федерации</w:t>
      </w:r>
    </w:p>
    <w:p w:rsidR="00024CE8" w:rsidRDefault="00024CE8">
      <w:pPr>
        <w:pStyle w:val="ConsPlusNormal"/>
        <w:jc w:val="right"/>
      </w:pPr>
      <w:r>
        <w:t>от 21.11.2019 N 196н</w:t>
      </w:r>
    </w:p>
    <w:p w:rsidR="00024CE8" w:rsidRDefault="00024CE8">
      <w:pPr>
        <w:pStyle w:val="ConsPlusNormal"/>
        <w:jc w:val="right"/>
      </w:pPr>
    </w:p>
    <w:p w:rsidR="00024CE8" w:rsidRDefault="00024CE8">
      <w:pPr>
        <w:pStyle w:val="ConsPlusTitle"/>
        <w:jc w:val="center"/>
      </w:pPr>
      <w:bookmarkStart w:id="0" w:name="P33"/>
      <w:bookmarkEnd w:id="0"/>
      <w:r>
        <w:t>ФЕДЕРАЛЬНЫЙ СТАНДАРТ</w:t>
      </w:r>
    </w:p>
    <w:p w:rsidR="00024CE8" w:rsidRDefault="00024CE8">
      <w:pPr>
        <w:pStyle w:val="ConsPlusTitle"/>
        <w:jc w:val="center"/>
      </w:pPr>
      <w:r>
        <w:t>ВНУТРЕННЕГО ФИНАНСОВОГО АУДИТА "ОПРЕДЕЛЕНИЯ, ПРИНЦИПЫ</w:t>
      </w:r>
    </w:p>
    <w:p w:rsidR="00024CE8" w:rsidRDefault="00024CE8">
      <w:pPr>
        <w:pStyle w:val="ConsPlusTitle"/>
        <w:jc w:val="center"/>
      </w:pPr>
      <w:r>
        <w:t>И ЗАДАЧИ ВНУТРЕННЕГО ФИНАНСОВОГО АУДИТА"</w:t>
      </w:r>
    </w:p>
    <w:p w:rsidR="00024CE8" w:rsidRDefault="00024CE8">
      <w:pPr>
        <w:pStyle w:val="ConsPlusNormal"/>
        <w:jc w:val="center"/>
      </w:pPr>
    </w:p>
    <w:p w:rsidR="00024CE8" w:rsidRDefault="00024CE8">
      <w:pPr>
        <w:pStyle w:val="ConsPlusTitle"/>
        <w:jc w:val="center"/>
        <w:outlineLvl w:val="1"/>
      </w:pPr>
      <w:r>
        <w:t>I. Общие положения</w:t>
      </w:r>
    </w:p>
    <w:p w:rsidR="00024CE8" w:rsidRDefault="00024CE8">
      <w:pPr>
        <w:pStyle w:val="ConsPlusNormal"/>
        <w:jc w:val="center"/>
      </w:pPr>
    </w:p>
    <w:p w:rsidR="00024CE8" w:rsidRDefault="00024CE8">
      <w:pPr>
        <w:pStyle w:val="ConsPlusNormal"/>
        <w:ind w:firstLine="540"/>
        <w:jc w:val="both"/>
      </w:pPr>
      <w:r>
        <w:t xml:space="preserve">1. Настоящий федеральный стандарт внутреннего финансового аудита "Определения, принципы и задачи внутреннего финансового аудита" (далее - Стандарт) разработан в соответствии со </w:t>
      </w:r>
      <w:hyperlink r:id="rId8" w:history="1">
        <w:r>
          <w:rPr>
            <w:color w:val="0000FF"/>
          </w:rPr>
          <w:t>статьей 160.2-1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средств), распорядителей бюджетных средств, получателей бюджетных средств, администраторов доходов бюджета, </w:t>
      </w:r>
      <w:r>
        <w:lastRenderedPageBreak/>
        <w:t>администраторов источников финансирования дефицита бюджета (далее - администраторы бюджетных средств) при организации и осуществлении внутреннего финансового аудита.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2. В настоящем Стандарте приведены основные термины и их определения, используемые в федеральных стандартах внутреннего финансового аудита, устанавливаемых Минфином России в соответствии с </w:t>
      </w:r>
      <w:hyperlink r:id="rId9" w:history="1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4466), принципы, в соответствии с которыми организуется и осуществляется внутренний финансовый аудит, а также задачи внутреннего финансового аудита, решение которых позволит достичь цели осуществления внутреннего финансового аудита, установленные </w:t>
      </w:r>
      <w:hyperlink r:id="rId10" w:history="1">
        <w:r>
          <w:rPr>
            <w:color w:val="0000FF"/>
          </w:rPr>
          <w:t>пунктом 2 статьи 160.2-1</w:t>
        </w:r>
      </w:hyperlink>
      <w:r>
        <w:t xml:space="preserve"> Бюджетного кодекса Российской Федерации.</w:t>
      </w:r>
    </w:p>
    <w:p w:rsidR="00024CE8" w:rsidRDefault="00024CE8">
      <w:pPr>
        <w:pStyle w:val="ConsPlusNormal"/>
        <w:ind w:firstLine="540"/>
        <w:jc w:val="both"/>
      </w:pPr>
    </w:p>
    <w:p w:rsidR="00024CE8" w:rsidRDefault="00024CE8">
      <w:pPr>
        <w:pStyle w:val="ConsPlusTitle"/>
        <w:jc w:val="center"/>
        <w:outlineLvl w:val="1"/>
      </w:pPr>
      <w:r>
        <w:t>II. Термины внутреннего финансового аудита и их определения</w:t>
      </w:r>
    </w:p>
    <w:p w:rsidR="00024CE8" w:rsidRDefault="00024CE8">
      <w:pPr>
        <w:pStyle w:val="ConsPlusNormal"/>
        <w:jc w:val="center"/>
      </w:pPr>
    </w:p>
    <w:p w:rsidR="00024CE8" w:rsidRDefault="00024CE8">
      <w:pPr>
        <w:pStyle w:val="ConsPlusNormal"/>
        <w:ind w:firstLine="540"/>
        <w:jc w:val="both"/>
      </w:pPr>
      <w:r>
        <w:t>3. В федеральных стандартах внутреннего финансового аудита применяются термины в определенных ниже значениях.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Субъект внутреннего финансового аудита - структурное подразделение или 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Руководитель субъекта внутреннего финансового аудита - руководитель структурного подразделения, наделенного полномочиями по осуществлению внутреннего финансового аудита, а в случае отсутствия такого структурного подразделения - 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 (далее - уполномоченное должностное лицо).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Бюджетные процедуры - процедуры главного администратора (администратора) бюджетных средств,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</w:t>
      </w:r>
      <w:hyperlink r:id="rId11" w:history="1">
        <w:r>
          <w:rPr>
            <w:color w:val="0000FF"/>
          </w:rPr>
          <w:t>пунктом 6 статьи 160.2-1</w:t>
        </w:r>
      </w:hyperlink>
      <w:r>
        <w:t xml:space="preserve">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Операция (действие) по выполнению бюджетной процедуры -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(администратора) бюджетных средств позволяет достичь результат выполнения бюджетной процедуры.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Субъекты бюджетных процедур - руководитель (заместители руководителя), руководители и должностные лица (работники) структурных подразделений главного администратора (администратора) бюджетных средств, которые организуют (обеспечивают выполнение), выполняют бюджетные процедуры.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</w:t>
      </w:r>
      <w:r>
        <w:lastRenderedPageBreak/>
        <w:t>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Аудиторские доказательства - документы и фактические данные, информация, отраженные в рабочей документации аудиторского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Программа аудиторского мероприятия - документ, содержащий основание и сроки проведения, цели и задачи, методы аудиторского мероприятия, наименование объекта(ов) внутреннего финансового аудита и перечень вопросов, подлежащих изучению в ходе проведения аудиторского мероприятия, а также сведения о руководителе и членах аудиторской группы или об уполномоченном должностном лице.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Аудиторская группа - группа, состоящая из не менее одного должностного лица (работника) субъекта внутреннего финансового аудита и не менее одного привлеченного к проведению аудиторского мероприятия должностного лица (работника) главного администратора (администратора) бюджетных средств и (или) эксперта, или группа, состоящая из нескольких должностных лиц (работников) субъекта внутреннего финансового аудита, которые являются членами аудиторской группы и проводят аудиторское мероприятие в соответствии с программой аудиторского мероприятия.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Руководитель аудиторской группы - входящее в состав аудиторской группы должностное лицо (работник) субъекта внутреннего финансового аудита, ответственное за подготовку, проведение и результаты аудиторского мероприятия.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Эксперт -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исследованию в соответствии с целями и задачами аудиторского мероприятия.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План проведения аудиторских мероприятий - перечень планируемых к проведению в очередном финансовом году аудиторских мероприятий, в отношении каждого из которых указаны тема и дата (месяц) окончания указанного мероприятия.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Метод внутреннего финансового аудита - прием, применяемый при проведении аудиторского мероприятия членами аудиторской группы или уполномоченным должностным лицом, в зависимости от целей и задач аудиторского мероприятия, результатов оценки бюджетных рисков, степени обеспеченности ресурсами (временными, трудовыми, материальными, финансовыми и иными ресурсами, которые способны оказать влияние на качество проведения аудиторского мероприятия).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К 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Аналитические процедуры - метод внутреннего финансового аудита, представляющий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Инспектирование - метод внутреннего финансового аудита, представляющий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Пересчет - метод внутреннего финансового аудита, представляющий собой проверку </w:t>
      </w:r>
      <w:r>
        <w:lastRenderedPageBreak/>
        <w:t>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Запрос - метод внутреннего финансового аудита,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Подтверждение - метод внутреннего финансового аудита, представляющий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Наблюдение - метод внутреннего финансового аудита, представляющий собой изучение действий субъектов бюджетных процедур, осуществляемых ими в ходе выполнения операций (действий) по выполнению бюджетных процедур.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Мониторинг процедур внутреннего финансового контроля - метод внутреннего финансового аудита,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Внутренний финансовый контроль - внутренний процесс главного администратора (администратора) бюджетных средств,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 нарушений и (или) недостатков, в том числе их причин и условий.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главного администратора (администратора) бюджетных средств, определяемое в соответствии с порядком проведения мониторинга качества финансового менеджмента, предусмотренным </w:t>
      </w:r>
      <w:hyperlink r:id="rId12" w:history="1">
        <w:r>
          <w:rPr>
            <w:color w:val="0000FF"/>
          </w:rPr>
          <w:t>пунктом 6 статьи 160.2-1</w:t>
        </w:r>
      </w:hyperlink>
      <w:r>
        <w:t xml:space="preserve"> Бюджетного кодекса Российской Федерации.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lastRenderedPageBreak/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процедур), в том числе: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документы, отражающие подготовку к проведению аудиторского мероприятия, включая формирование его программы;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документы и фактические данные, информация, связанные с выполнением бюджетных процедур;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объяснения, полученные в ходе проведения аудиторского мероприятия, в том числе от субъектов бюджетных процедур;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аналитические материалы, подготовленные в рамках проведения аудиторского мероприятия;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Заключение - подписанный руководителем субъекта внутреннего финансового аудита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Годовая отчетность о результатах деятельности субъекта внутреннего финансового аудита - информация, основанная на данных, отраженных в заключениях и реестре бюджетных рисков, в том числе информация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главного администратора (администратора) бюджетных средств.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lastRenderedPageBreak/>
        <w:t>выявленные бюджетные риски во взаимосвязи с операциями (действиями) по выполнению бюджетных процедур;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причины и возможные последствия реализации бюджетного риска;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значимость (уровень) бюджетного риска;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владельцы бюджетного риска;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Актуализация реестра бюджетных рисков - регулярно (не реже одного раза в год) проводимая переоценка (определение значимости) бюджетных рисков, находящихся в реестре бюджетных рисков, а также выявление бюджетных рисков, присущих текущему и очередному финансовому году, в целях их включения в реестр бюджетных рисков.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Коррупционно опасные операции - операции (действия) по выполнению бюджетной процедуры: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при выполнении которых может возникнуть конфликт интересов, и в отношении которых внутренний финансовый контроль осуществляют должностные лица, замещающие должности, включенные в перечень должностей, замещение которых связано с коррупционными рисками;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необходимые для выполнения бюджетной процедуры, направленной на организацию исполнения функции органа государственной (муниципальной) власти, определенной в качестве коррупционно опасной.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Конфликт интересов - ситуация, при которой личная или профессиональная заинтересованность (прямая или косвенная) должностного лица (работника) субъекта внутреннего финансового аудита, члена аудиторской группы, влияет или может повлиять на надлежащее, объективное и беспристрастное исполнение им должностных обязанностей.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</w:t>
      </w:r>
      <w:hyperlink r:id="rId13" w:history="1">
        <w:r>
          <w:rPr>
            <w:color w:val="0000FF"/>
          </w:rPr>
          <w:t>статьями 165</w:t>
        </w:r>
      </w:hyperlink>
      <w:r>
        <w:t xml:space="preserve"> и </w:t>
      </w:r>
      <w:hyperlink r:id="rId14" w:history="1">
        <w:r>
          <w:rPr>
            <w:color w:val="0000FF"/>
          </w:rPr>
          <w:t>264.1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lastRenderedPageBreak/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024CE8" w:rsidRDefault="00024CE8">
      <w:pPr>
        <w:pStyle w:val="ConsPlusNormal"/>
        <w:ind w:firstLine="540"/>
        <w:jc w:val="both"/>
      </w:pPr>
    </w:p>
    <w:p w:rsidR="00024CE8" w:rsidRDefault="00024CE8">
      <w:pPr>
        <w:pStyle w:val="ConsPlusTitle"/>
        <w:jc w:val="center"/>
        <w:outlineLvl w:val="1"/>
      </w:pPr>
      <w:r>
        <w:t>III. Принципы внутреннего финансового аудита</w:t>
      </w:r>
    </w:p>
    <w:p w:rsidR="00024CE8" w:rsidRDefault="00024CE8">
      <w:pPr>
        <w:pStyle w:val="ConsPlusNormal"/>
        <w:jc w:val="center"/>
      </w:pPr>
    </w:p>
    <w:p w:rsidR="00024CE8" w:rsidRDefault="00024CE8">
      <w:pPr>
        <w:pStyle w:val="ConsPlusNormal"/>
        <w:ind w:firstLine="540"/>
        <w:jc w:val="both"/>
      </w:pPr>
      <w:r>
        <w:t>4. Деятельность субъекта внутреннего финансового аудита и членов аудиторской группы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5. Принцип законности выражается в строгом и полном соблюдении законодательства Российской Федерации, а также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главного администратора (администратора) бюджетных средств.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6. Принцип функциональной независимости означает отсутствие условий, которые создают угрозу способности субъекта внутреннего финансового аудита беспристрастно и объективно выполнять свои обязанности.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7. Принцип объективности выражается в беспристрастности, в том числе в недопущении конфликта интересов любого рода, при планировании и проведении аудиторских мероприятий, а также при формировании заключений и годовой отчетности о результатах деятельности субъекта внутреннего финансового аудита.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8. Принцип компетентности выражается в применении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9. Принцип профессионального скептицизма подразумевает критическую оценку обоснованности, надежности и достаточности полученных аудиторских доказательств и направлен на минимизацию возможности упустить из виду подозрительные обстоятельства, сделать неоправданные обобщения при подготовке выводов, использовать ошибочные допущения при определении характера, временных рамок и объема аудиторских процедур, а также при оценке их результатов.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10. Принцип системности заключается в том, что при планировании и проведении аудиторских мероприятий бюджетные и коррупционные риски периодически анализируются по всем бюджетным процедурам.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11. Принцип эффективности означает, что планирование и проведение аудиторских мероприятий должно быть основано на необходимости достижения целей осуществления внутреннего финансового аудита и обеспечения полноты заключения о результатах проведения аудиторского мероприятия путем использования заданного (наименьшего) объема затрачиваемых ресурсов.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12. Принцип ответственности означает, что субъект внутреннего финансового аудита несет ответственность перед руководителем главного администратора (администратора) бюджетных средств 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lastRenderedPageBreak/>
        <w:t>13. Принцип стандартизации означает, что внутренний финансовый аудит осуществляется в соответствии с федеральными стандартами внутреннего финансового аудита, а также ведомственными (внутренними) актами, обеспечивающими осуществление внутреннего финансового аудита с соблюдением федеральных стандартов внутреннего финансового аудита.</w:t>
      </w:r>
    </w:p>
    <w:p w:rsidR="00024CE8" w:rsidRDefault="00024CE8">
      <w:pPr>
        <w:pStyle w:val="ConsPlusNormal"/>
        <w:ind w:firstLine="540"/>
        <w:jc w:val="both"/>
      </w:pPr>
    </w:p>
    <w:p w:rsidR="00024CE8" w:rsidRDefault="00024CE8">
      <w:pPr>
        <w:pStyle w:val="ConsPlusTitle"/>
        <w:jc w:val="center"/>
        <w:outlineLvl w:val="1"/>
      </w:pPr>
      <w:r>
        <w:t>IV. Задачи внутреннего финансового аудита</w:t>
      </w:r>
    </w:p>
    <w:p w:rsidR="00024CE8" w:rsidRDefault="00024CE8">
      <w:pPr>
        <w:pStyle w:val="ConsPlusNormal"/>
        <w:jc w:val="center"/>
      </w:pPr>
    </w:p>
    <w:p w:rsidR="00024CE8" w:rsidRDefault="00024CE8">
      <w:pPr>
        <w:pStyle w:val="ConsPlusNormal"/>
        <w:ind w:firstLine="540"/>
        <w:jc w:val="both"/>
      </w:pPr>
      <w:r>
        <w:t>14. В целях оценки надежности внутреннего финансового контроля, осуществляемого в главном администраторе (администраторе) бюджетных средств, а также подготовки предложений по его организации деятельность субъекта внутреннего финансового аудита должна быть направлена на решение, в частности, следующих задач: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а) установление достаточности и актуальности правовых актов и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б) выявление избыточных (дублирующих друг друга) операций (действий) по выполнению бюджетной процедуры;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в) 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(администратора) бюджетных средств,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г)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д) 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е) 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ж)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з) формирование предложений и рекомендаций по организации и применению контрольных действий в целях: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минимизации бюджетных рисков при выполнении бюджетных процедур, в том числе операций (действий) по выполнению бюджетной процедуры;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обеспечения отсутствия и (или) существенного снижения числа нарушений и (или) недостатков, а также устранения их причин и условий;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lastRenderedPageBreak/>
        <w:t xml:space="preserve">достижения главным администратором (администратором) бюджетных средств значений показателей качества финансового менеджмента, в том числе целевых значений, определенных в соответствии с порядком проведения мониторинга качества финансового менеджмента, предусмотренным </w:t>
      </w:r>
      <w:hyperlink r:id="rId15" w:history="1">
        <w:r>
          <w:rPr>
            <w:color w:val="0000FF"/>
          </w:rPr>
          <w:t>пунктом 7 статьи 160.2-1</w:t>
        </w:r>
      </w:hyperlink>
      <w:r>
        <w:t xml:space="preserve"> Бюджетного кодекса Российской Федерации.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15.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16" w:history="1">
        <w:r>
          <w:rPr>
            <w:color w:val="0000FF"/>
          </w:rPr>
          <w:t>пунктом 5 статьи 264.1</w:t>
        </w:r>
      </w:hyperlink>
      <w:r>
        <w:t xml:space="preserve"> Бюджетного кодекса Российской Федерации, деятельность субъекта внутреннего финансового аудита должна быть направлена на решение, в частности, следующих задач: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а) изучение порядка формирования (актуализации) актов субъекта учета &lt;1&gt;, устанавливающих в целях организации и ведения бюджетного учета учетную политику субъекта учета (документы учетной политики) &lt;2&gt;,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17" w:history="1">
        <w:r>
          <w:rPr>
            <w:color w:val="0000FF"/>
          </w:rPr>
          <w:t>пунктом 3</w:t>
        </w:r>
      </w:hyperlink>
      <w: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Министерства финансов Российской Федерации от 31.12.2016 N 256н (зарегистрирован в Министерстве юстиции Российской Федерации 27 апреля 2017 г., регистрационный N 46517).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&lt;2&gt; В соответствии с </w:t>
      </w:r>
      <w:hyperlink r:id="rId18" w:history="1">
        <w:r>
          <w:rPr>
            <w:color w:val="0000FF"/>
          </w:rPr>
          <w:t>пунктом 9</w:t>
        </w:r>
      </w:hyperlink>
      <w:r>
        <w:t xml:space="preserve"> Федерального стандарта бухгалтерского учета для организаций государственного сектора "Учетная политика, оценочные значения и ошибки", утвержденного приказом Министерства финансов Российской Федерации от 30.12.2017 N 274н (зарегистрирован в Министерстве юстиции Российской Федерации 18 мая 2018 г., регистрационный N 51123).</w:t>
      </w:r>
    </w:p>
    <w:p w:rsidR="00024CE8" w:rsidRDefault="00024CE8">
      <w:pPr>
        <w:pStyle w:val="ConsPlusNormal"/>
        <w:ind w:firstLine="540"/>
        <w:jc w:val="both"/>
      </w:pPr>
    </w:p>
    <w:p w:rsidR="00024CE8" w:rsidRDefault="00024CE8">
      <w:pPr>
        <w:pStyle w:val="ConsPlusNormal"/>
        <w:ind w:firstLine="540"/>
        <w:jc w:val="both"/>
      </w:pPr>
      <w:r>
        <w:t>б)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в) 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г) формирование суждения субъекта внутреннего финансового аудита о достоверности бюджетной отчетности, подготовленное с учетом положений </w:t>
      </w:r>
      <w:hyperlink r:id="rId19" w:history="1">
        <w:r>
          <w:rPr>
            <w:color w:val="0000FF"/>
          </w:rPr>
          <w:t>пункта 65</w:t>
        </w:r>
      </w:hyperlink>
      <w: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&lt;3&gt; и в целях подтверждения достоверности бюджетной отчетности получателя бюджетных средств, сформированной главным администратором (администратором) бюджетных средств (индивидуальной бюджетной отчетности), а также соблюдения главным администратором бюджетных средств порядка формирования консолидированной бюджетной отчетности;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&lt;3&gt; Федеральный </w:t>
      </w:r>
      <w:hyperlink r:id="rId20" w:history="1">
        <w:r>
          <w:rPr>
            <w:color w:val="0000FF"/>
          </w:rPr>
          <w:t>стандарт</w:t>
        </w:r>
      </w:hyperlink>
      <w:r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</w:t>
      </w:r>
      <w:r>
        <w:lastRenderedPageBreak/>
        <w:t>сектора", утвержденный приказом Министерства финансов Российской Федерации от 31.12.2016 N 256н (зарегистрирован в Министерстве юстиции Российской Федерации 27 апреля 2017 г., регистрационный N 46517).</w:t>
      </w:r>
    </w:p>
    <w:p w:rsidR="00024CE8" w:rsidRDefault="00024CE8">
      <w:pPr>
        <w:pStyle w:val="ConsPlusNormal"/>
        <w:ind w:firstLine="540"/>
        <w:jc w:val="both"/>
      </w:pPr>
    </w:p>
    <w:p w:rsidR="00024CE8" w:rsidRDefault="00024CE8">
      <w:pPr>
        <w:pStyle w:val="ConsPlusNormal"/>
        <w:ind w:firstLine="540"/>
        <w:jc w:val="both"/>
      </w:pPr>
      <w:r>
        <w:t>д) 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16. В целях повышения качества финансового менеджмента деятельность субъекта внутреннего финансового аудита должна быть направлена на решение, в частности, следующих задач: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а)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б) оценка исполнения бюджетных полномочий главного администратора (администратора) бюджетных средств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в) оценка результатов исполнения направленных на повышение качества финансового менеджмента решений субъектов бюджетных процедур;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г) 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д) оценка результативности и экономности использования бюджетных средств главным администратором (администратором) бюджетных средств, в том числе путем формирования субъектом внутреннего финансового аудита суждения о: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своевременности доведения и полноте распределения бюджетных ассигнований, а также о полноте обоснования причин возникновения неиспользованных остатков бюджетных средств и (или) лимитов бюджетных обязательств, в случае их наличия;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качестве обоснований изменений в сводную бюджетную роспись, бюджетную роспись;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соответствии объемов осуществленных кассовых расходов прогнозным показателям кассового планирования;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уровне достижения значений показателей результата выполнения мероприятий (при наличии);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</w:t>
      </w:r>
      <w:r>
        <w:lastRenderedPageBreak/>
        <w:t>закупок, а также начальных (максимальных) цен контрактов;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 xml:space="preserve">обоснованности выбора способов определения поставщика (подрядчика, исполнителя) в соответствии со </w:t>
      </w:r>
      <w:hyperlink r:id="rId21" w:history="1">
        <w:r>
          <w:rPr>
            <w:color w:val="0000FF"/>
          </w:rPr>
          <w:t>статьей 24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2019, N 18, ст. 2195) с целью достижения экономии бюджетных средств;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равномерности принятия и исполнения обязательств по государственным (муниципальным) контрактам с учетом особенностей выполняемых функций и полномочий в течение финансового года;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субсидий, установленных соглашениями о предоставлении субсидий и (или) иных межбюджетных трансфертов, имеющих целевое значение;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обоснованности показателей государственного (муниципального) задания на оказание (выполнение) государственных (муниципальных) услуг (работ) исходя из объема государственных (муниципальных) услуг (работ) в соответствии с социальными гарантиями и обязательствами государства;</w:t>
      </w:r>
    </w:p>
    <w:p w:rsidR="00024CE8" w:rsidRDefault="00024CE8">
      <w:pPr>
        <w:pStyle w:val="ConsPlusNormal"/>
        <w:spacing w:before="220"/>
        <w:ind w:firstLine="540"/>
        <w:jc w:val="both"/>
      </w:pPr>
      <w:r>
        <w:t>наличии, объеме и структуре дебиторской и кредиторской задолженности, в том числе просроченной.</w:t>
      </w:r>
    </w:p>
    <w:p w:rsidR="00024CE8" w:rsidRDefault="00024CE8">
      <w:pPr>
        <w:pStyle w:val="ConsPlusNormal"/>
        <w:jc w:val="both"/>
      </w:pPr>
    </w:p>
    <w:p w:rsidR="00024CE8" w:rsidRDefault="00024CE8">
      <w:pPr>
        <w:pStyle w:val="ConsPlusNormal"/>
        <w:jc w:val="both"/>
      </w:pPr>
    </w:p>
    <w:p w:rsidR="00024CE8" w:rsidRDefault="00024C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BDB" w:rsidRDefault="00615BDB">
      <w:bookmarkStart w:id="1" w:name="_GoBack"/>
      <w:bookmarkEnd w:id="1"/>
    </w:p>
    <w:sectPr w:rsidR="00615BDB" w:rsidSect="0039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E8"/>
    <w:rsid w:val="00024CE8"/>
    <w:rsid w:val="0061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C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C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F4CBE179E23B6E63BFF2317DF3A4C42F3D30A675A9047C95409A386597C77248E66FB832FDCBAB01B217F8A53C033E4F3EB1A27D2S0bAF" TargetMode="External"/><Relationship Id="rId13" Type="http://schemas.openxmlformats.org/officeDocument/2006/relationships/hyperlink" Target="consultantplus://offline/ref=D24F4CBE179E23B6E63BFF2317DF3A4C42F3D30A675A9047C95409A386597C77248E66FF832CDBB6E041317BC306CC2DE5EFF51A39D20BCBS7b6F" TargetMode="External"/><Relationship Id="rId18" Type="http://schemas.openxmlformats.org/officeDocument/2006/relationships/hyperlink" Target="consultantplus://offline/ref=D24F4CBE179E23B6E63BFF2317DF3A4C42F2D20465589047C95409A386597C77248E66FF832EDEB5E041317BC306CC2DE5EFF51A39D20BCBS7b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4F4CBE179E23B6E63BFF2317DF3A4C42F3D00366589047C95409A386597C77248E66FF832EDCB7E141317BC306CC2DE5EFF51A39D20BCBS7b6F" TargetMode="External"/><Relationship Id="rId7" Type="http://schemas.openxmlformats.org/officeDocument/2006/relationships/hyperlink" Target="consultantplus://offline/ref=D24F4CBE179E23B6E63BFF2317DF3A4C42F3D30A675A9047C95409A386597C77248E66FA8A2EDCBAB01B217F8A53C033E4F3EB1A27D2S0bAF" TargetMode="External"/><Relationship Id="rId12" Type="http://schemas.openxmlformats.org/officeDocument/2006/relationships/hyperlink" Target="consultantplus://offline/ref=D24F4CBE179E23B6E63BFF2317DF3A4C42F3D30A675A9047C95409A386597C77248E66FA8B26D7BAB01B217F8A53C033E4F3EB1A27D2S0bAF" TargetMode="External"/><Relationship Id="rId17" Type="http://schemas.openxmlformats.org/officeDocument/2006/relationships/hyperlink" Target="consultantplus://offline/ref=D24F4CBE179E23B6E63BFF2317DF3A4C42F0D401665F9047C95409A386597C77248E66FF832EDEB0E141317BC306CC2DE5EFF51A39D20BCBS7b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4F4CBE179E23B6E63BFF2317DF3A4C42F3D30A675A9047C95409A386597C77248E66FA8A2CDBBAB01B217F8A53C033E4F3EB1A27D2S0bAF" TargetMode="External"/><Relationship Id="rId20" Type="http://schemas.openxmlformats.org/officeDocument/2006/relationships/hyperlink" Target="consultantplus://offline/ref=D24F4CBE179E23B6E63BFF2317DF3A4C42F0D401665F9047C95409A386597C77248E66FF832EDEB0E541317BC306CC2DE5EFF51A39D20BCBS7b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F4CBE179E23B6E63BFF2317DF3A4C42F3D30A675A9047C95409A386597C77248E66FB832FDCBAB01B217F8A53C033E4F3EB1A27D2S0bAF" TargetMode="External"/><Relationship Id="rId11" Type="http://schemas.openxmlformats.org/officeDocument/2006/relationships/hyperlink" Target="consultantplus://offline/ref=D24F4CBE179E23B6E63BFF2317DF3A4C42F3D30A675A9047C95409A386597C77248E66FA8B26D7BAB01B217F8A53C033E4F3EB1A27D2S0bA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24F4CBE179E23B6E63BFF2317DF3A4C42F3D30A675A9047C95409A386597C77248E66FA8B27DCBAB01B217F8A53C033E4F3EB1A27D2S0bA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24F4CBE179E23B6E63BFF2317DF3A4C42F3D30A675A9047C95409A386597C77248E66FA8B26DDBAB01B217F8A53C033E4F3EB1A27D2S0bAF" TargetMode="External"/><Relationship Id="rId19" Type="http://schemas.openxmlformats.org/officeDocument/2006/relationships/hyperlink" Target="consultantplus://offline/ref=D24F4CBE179E23B6E63BFF2317DF3A4C42F0D401665F9047C95409A386597C77248E66FF832EDFB7E341317BC306CC2DE5EFF51A39D20BCBS7b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F4CBE179E23B6E63BFF2317DF3A4C42F3D30A675A9047C95409A386597C77248E66FA8A2EDCBAB01B217F8A53C033E4F3EB1A27D2S0bAF" TargetMode="External"/><Relationship Id="rId14" Type="http://schemas.openxmlformats.org/officeDocument/2006/relationships/hyperlink" Target="consultantplus://offline/ref=D24F4CBE179E23B6E63BFF2317DF3A4C42F3D30A675A9047C95409A386597C77248E66FC8529DABAB01B217F8A53C033E4F3EB1A27D2S0b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5160</Words>
  <Characters>29417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cp:lastModifiedBy>budarina</cp:lastModifiedBy>
  <cp:revision>1</cp:revision>
  <dcterms:created xsi:type="dcterms:W3CDTF">2021-02-01T05:27:00Z</dcterms:created>
  <dcterms:modified xsi:type="dcterms:W3CDTF">2021-02-01T05:27:00Z</dcterms:modified>
</cp:coreProperties>
</file>