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E79" w:rsidRPr="008B4C8D" w:rsidRDefault="00215E79" w:rsidP="00215E79">
      <w:pPr>
        <w:jc w:val="right"/>
        <w:rPr>
          <w:color w:val="000000" w:themeColor="text1"/>
          <w:szCs w:val="24"/>
        </w:rPr>
      </w:pPr>
      <w:r w:rsidRPr="00B02CB3">
        <w:rPr>
          <w:szCs w:val="24"/>
        </w:rPr>
        <w:t xml:space="preserve">                                                                                                   </w:t>
      </w:r>
      <w:r w:rsidRPr="008B4C8D">
        <w:rPr>
          <w:color w:val="000000" w:themeColor="text1"/>
          <w:szCs w:val="24"/>
        </w:rPr>
        <w:t>УТВЕРЖДЕНЫ</w:t>
      </w:r>
    </w:p>
    <w:p w:rsidR="00215E79" w:rsidRPr="008B4C8D" w:rsidRDefault="00215E79" w:rsidP="00215E79">
      <w:pPr>
        <w:jc w:val="right"/>
        <w:rPr>
          <w:color w:val="000000" w:themeColor="text1"/>
          <w:szCs w:val="24"/>
        </w:rPr>
      </w:pPr>
      <w:r w:rsidRPr="008B4C8D">
        <w:rPr>
          <w:color w:val="000000" w:themeColor="text1"/>
          <w:szCs w:val="24"/>
        </w:rPr>
        <w:t xml:space="preserve">решением Совета депутатов </w:t>
      </w:r>
    </w:p>
    <w:p w:rsidR="00215E79" w:rsidRPr="008B4C8D" w:rsidRDefault="00B02CB3" w:rsidP="00215E79">
      <w:pPr>
        <w:jc w:val="right"/>
        <w:rPr>
          <w:color w:val="000000" w:themeColor="text1"/>
          <w:szCs w:val="24"/>
        </w:rPr>
      </w:pPr>
      <w:r w:rsidRPr="008B4C8D">
        <w:rPr>
          <w:color w:val="000000" w:themeColor="text1"/>
          <w:szCs w:val="24"/>
        </w:rPr>
        <w:t>Чулымского</w:t>
      </w:r>
      <w:r w:rsidR="00215E79" w:rsidRPr="008B4C8D">
        <w:rPr>
          <w:color w:val="000000" w:themeColor="text1"/>
          <w:szCs w:val="24"/>
        </w:rPr>
        <w:t xml:space="preserve"> района </w:t>
      </w:r>
    </w:p>
    <w:p w:rsidR="003E0FB4" w:rsidRPr="008B4C8D" w:rsidRDefault="003E0FB4" w:rsidP="003E0FB4">
      <w:pPr>
        <w:jc w:val="right"/>
        <w:rPr>
          <w:color w:val="000000" w:themeColor="text1"/>
          <w:szCs w:val="24"/>
        </w:rPr>
      </w:pPr>
      <w:r w:rsidRPr="008B4C8D">
        <w:rPr>
          <w:color w:val="000000" w:themeColor="text1"/>
          <w:szCs w:val="24"/>
        </w:rPr>
        <w:t xml:space="preserve">от </w:t>
      </w:r>
      <w:r w:rsidR="00F11B2A" w:rsidRPr="008B4C8D">
        <w:rPr>
          <w:color w:val="000000" w:themeColor="text1"/>
          <w:szCs w:val="24"/>
        </w:rPr>
        <w:t>26 марта</w:t>
      </w:r>
      <w:r w:rsidRPr="008B4C8D">
        <w:rPr>
          <w:color w:val="000000" w:themeColor="text1"/>
          <w:szCs w:val="24"/>
        </w:rPr>
        <w:t xml:space="preserve"> 20</w:t>
      </w:r>
      <w:r w:rsidR="00F11B2A" w:rsidRPr="008B4C8D">
        <w:rPr>
          <w:color w:val="000000" w:themeColor="text1"/>
          <w:szCs w:val="24"/>
        </w:rPr>
        <w:t>18</w:t>
      </w:r>
      <w:r w:rsidRPr="008B4C8D">
        <w:rPr>
          <w:color w:val="000000" w:themeColor="text1"/>
          <w:szCs w:val="24"/>
        </w:rPr>
        <w:t xml:space="preserve"> № </w:t>
      </w:r>
      <w:r w:rsidR="00F11B2A" w:rsidRPr="008B4C8D">
        <w:rPr>
          <w:color w:val="000000" w:themeColor="text1"/>
          <w:szCs w:val="24"/>
        </w:rPr>
        <w:t>19/191</w:t>
      </w:r>
    </w:p>
    <w:p w:rsidR="00215E79" w:rsidRPr="008B4C8D" w:rsidRDefault="00215E79" w:rsidP="00215E79">
      <w:pPr>
        <w:widowControl w:val="0"/>
        <w:autoSpaceDE w:val="0"/>
        <w:autoSpaceDN w:val="0"/>
        <w:adjustRightInd w:val="0"/>
        <w:ind w:left="5954"/>
        <w:jc w:val="center"/>
        <w:rPr>
          <w:b/>
          <w:color w:val="000000" w:themeColor="text1"/>
          <w:sz w:val="28"/>
          <w:szCs w:val="28"/>
        </w:rPr>
      </w:pPr>
    </w:p>
    <w:p w:rsidR="00215E79" w:rsidRPr="008B4C8D" w:rsidRDefault="00215E79" w:rsidP="00215E79">
      <w:pPr>
        <w:widowControl w:val="0"/>
        <w:autoSpaceDE w:val="0"/>
        <w:autoSpaceDN w:val="0"/>
        <w:adjustRightInd w:val="0"/>
        <w:ind w:left="5954"/>
        <w:jc w:val="center"/>
        <w:rPr>
          <w:b/>
          <w:bCs/>
          <w:color w:val="000000" w:themeColor="text1"/>
          <w:szCs w:val="24"/>
        </w:rPr>
      </w:pPr>
    </w:p>
    <w:p w:rsidR="00215E79" w:rsidRPr="008B4C8D" w:rsidRDefault="00215E79" w:rsidP="00215E79">
      <w:pPr>
        <w:suppressAutoHyphens/>
        <w:jc w:val="center"/>
        <w:rPr>
          <w:b/>
          <w:bCs/>
          <w:color w:val="000000" w:themeColor="text1"/>
          <w:szCs w:val="24"/>
        </w:rPr>
      </w:pPr>
      <w:r w:rsidRPr="008B4C8D">
        <w:rPr>
          <w:b/>
          <w:bCs/>
          <w:color w:val="000000" w:themeColor="text1"/>
          <w:szCs w:val="24"/>
        </w:rPr>
        <w:t xml:space="preserve">МЕСТНЫЕ НОРМАТИВЫ </w:t>
      </w:r>
    </w:p>
    <w:p w:rsidR="00B02CB3" w:rsidRPr="008B4C8D" w:rsidRDefault="00215E79" w:rsidP="00215E79">
      <w:pPr>
        <w:suppressAutoHyphens/>
        <w:jc w:val="center"/>
        <w:rPr>
          <w:b/>
          <w:bCs/>
          <w:color w:val="000000" w:themeColor="text1"/>
          <w:szCs w:val="24"/>
        </w:rPr>
      </w:pPr>
      <w:r w:rsidRPr="008B4C8D">
        <w:rPr>
          <w:b/>
          <w:bCs/>
          <w:color w:val="000000" w:themeColor="text1"/>
          <w:szCs w:val="24"/>
        </w:rPr>
        <w:t xml:space="preserve">градостроительного проектирования </w:t>
      </w:r>
    </w:p>
    <w:p w:rsidR="00215E79" w:rsidRPr="008B4C8D" w:rsidRDefault="008B4C8D" w:rsidP="00215E79">
      <w:pPr>
        <w:suppressAutoHyphens/>
        <w:jc w:val="center"/>
        <w:rPr>
          <w:b/>
          <w:bCs/>
          <w:color w:val="000000" w:themeColor="text1"/>
          <w:szCs w:val="24"/>
        </w:rPr>
      </w:pPr>
      <w:r w:rsidRPr="008B4C8D">
        <w:rPr>
          <w:b/>
          <w:bCs/>
          <w:color w:val="000000" w:themeColor="text1"/>
          <w:szCs w:val="24"/>
        </w:rPr>
        <w:t>Куликовского</w:t>
      </w:r>
      <w:r w:rsidR="00215E79" w:rsidRPr="008B4C8D">
        <w:rPr>
          <w:b/>
          <w:bCs/>
          <w:color w:val="000000" w:themeColor="text1"/>
          <w:szCs w:val="24"/>
        </w:rPr>
        <w:t xml:space="preserve"> сельсовета </w:t>
      </w:r>
      <w:r w:rsidR="00B02CB3" w:rsidRPr="008B4C8D">
        <w:rPr>
          <w:b/>
          <w:bCs/>
          <w:color w:val="000000" w:themeColor="text1"/>
          <w:szCs w:val="24"/>
        </w:rPr>
        <w:t>Чулымского</w:t>
      </w:r>
      <w:r w:rsidR="00215E79" w:rsidRPr="008B4C8D">
        <w:rPr>
          <w:b/>
          <w:bCs/>
          <w:color w:val="000000" w:themeColor="text1"/>
          <w:szCs w:val="24"/>
        </w:rPr>
        <w:t xml:space="preserve"> </w:t>
      </w:r>
      <w:r w:rsidR="00FF4AAF" w:rsidRPr="008B4C8D">
        <w:rPr>
          <w:b/>
          <w:bCs/>
          <w:color w:val="000000" w:themeColor="text1"/>
          <w:szCs w:val="24"/>
        </w:rPr>
        <w:t xml:space="preserve">муниципального </w:t>
      </w:r>
      <w:r w:rsidR="00215E79" w:rsidRPr="008B4C8D">
        <w:rPr>
          <w:b/>
          <w:bCs/>
          <w:color w:val="000000" w:themeColor="text1"/>
          <w:szCs w:val="24"/>
        </w:rPr>
        <w:t>района Новосибирской области</w:t>
      </w:r>
    </w:p>
    <w:p w:rsidR="00282FC9" w:rsidRDefault="00282FC9" w:rsidP="00282FC9">
      <w:pPr>
        <w:widowControl w:val="0"/>
        <w:autoSpaceDE w:val="0"/>
        <w:autoSpaceDN w:val="0"/>
        <w:adjustRightInd w:val="0"/>
        <w:jc w:val="center"/>
        <w:rPr>
          <w:color w:val="808080" w:themeColor="background1" w:themeShade="80"/>
          <w:szCs w:val="24"/>
        </w:rPr>
      </w:pPr>
      <w:r>
        <w:rPr>
          <w:color w:val="808080"/>
          <w:szCs w:val="24"/>
        </w:rPr>
        <w:t>(в ред. решения 24 сессии Совета депутатов Чулымского района от 02.08.2023 № 24/205, решения 40 сессии Совета депутатов Чулымского района от 14.04.2025 №40/327</w:t>
      </w:r>
      <w:r>
        <w:rPr>
          <w:color w:val="808080" w:themeColor="background1" w:themeShade="80"/>
          <w:szCs w:val="24"/>
        </w:rPr>
        <w:t>)</w:t>
      </w:r>
    </w:p>
    <w:p w:rsidR="00DD3E5E" w:rsidRPr="008B4C8D" w:rsidRDefault="00DD3E5E">
      <w:pPr>
        <w:pStyle w:val="ConsPlusNormal"/>
        <w:jc w:val="center"/>
        <w:rPr>
          <w:rFonts w:ascii="Times New Roman" w:hAnsi="Times New Roman" w:cs="Times New Roman"/>
          <w:color w:val="000000" w:themeColor="text1"/>
          <w:sz w:val="24"/>
          <w:szCs w:val="24"/>
        </w:rPr>
      </w:pPr>
      <w:bookmarkStart w:id="0" w:name="_GoBack"/>
      <w:bookmarkEnd w:id="0"/>
    </w:p>
    <w:p w:rsidR="00DD3E5E" w:rsidRPr="008B4C8D" w:rsidRDefault="00DD3E5E">
      <w:pPr>
        <w:pStyle w:val="ConsPlusNormal"/>
        <w:jc w:val="center"/>
        <w:outlineLvl w:val="1"/>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I. Общие положения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1. </w:t>
      </w:r>
      <w:r w:rsidR="00F75183" w:rsidRPr="008B4C8D">
        <w:rPr>
          <w:rFonts w:ascii="Times New Roman" w:hAnsi="Times New Roman" w:cs="Times New Roman"/>
          <w:color w:val="000000" w:themeColor="text1"/>
          <w:sz w:val="24"/>
          <w:szCs w:val="24"/>
        </w:rPr>
        <w:t>Местные</w:t>
      </w:r>
      <w:r w:rsidRPr="008B4C8D">
        <w:rPr>
          <w:rFonts w:ascii="Times New Roman" w:hAnsi="Times New Roman" w:cs="Times New Roman"/>
          <w:color w:val="000000" w:themeColor="text1"/>
          <w:sz w:val="24"/>
          <w:szCs w:val="24"/>
        </w:rPr>
        <w:t xml:space="preserve"> нормативы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A22EAD" w:rsidRPr="008B4C8D">
        <w:rPr>
          <w:rFonts w:ascii="Times New Roman" w:hAnsi="Times New Roman" w:cs="Times New Roman"/>
          <w:color w:val="000000" w:themeColor="text1"/>
          <w:sz w:val="24"/>
          <w:szCs w:val="24"/>
        </w:rPr>
        <w:t xml:space="preserve"> сельсовета </w:t>
      </w:r>
      <w:r w:rsidR="00F75183" w:rsidRPr="008B4C8D">
        <w:rPr>
          <w:rFonts w:ascii="Times New Roman" w:hAnsi="Times New Roman" w:cs="Times New Roman"/>
          <w:color w:val="000000" w:themeColor="text1"/>
          <w:sz w:val="24"/>
          <w:szCs w:val="24"/>
        </w:rPr>
        <w:t>Чулымского</w:t>
      </w:r>
      <w:r w:rsidR="00FF4AAF" w:rsidRPr="008B4C8D">
        <w:rPr>
          <w:rFonts w:ascii="Times New Roman" w:hAnsi="Times New Roman" w:cs="Times New Roman"/>
          <w:color w:val="000000" w:themeColor="text1"/>
          <w:sz w:val="24"/>
          <w:szCs w:val="24"/>
        </w:rPr>
        <w:t xml:space="preserve"> муниципального</w:t>
      </w:r>
      <w:r w:rsidR="00F75183" w:rsidRPr="008B4C8D">
        <w:rPr>
          <w:rFonts w:ascii="Times New Roman" w:hAnsi="Times New Roman" w:cs="Times New Roman"/>
          <w:color w:val="000000" w:themeColor="text1"/>
          <w:sz w:val="24"/>
          <w:szCs w:val="24"/>
        </w:rPr>
        <w:t xml:space="preserve"> района </w:t>
      </w:r>
      <w:r w:rsidRPr="008B4C8D">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8B4C8D">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8B4C8D">
        <w:rPr>
          <w:rFonts w:ascii="Times New Roman" w:hAnsi="Times New Roman" w:cs="Times New Roman"/>
          <w:color w:val="000000" w:themeColor="text1"/>
          <w:sz w:val="24"/>
          <w:szCs w:val="24"/>
        </w:rPr>
        <w:t xml:space="preserve">муниципального </w:t>
      </w:r>
      <w:r w:rsidR="00A22EAD" w:rsidRPr="008B4C8D">
        <w:rPr>
          <w:rFonts w:ascii="Times New Roman" w:hAnsi="Times New Roman" w:cs="Times New Roman"/>
          <w:color w:val="000000" w:themeColor="text1"/>
          <w:sz w:val="24"/>
          <w:szCs w:val="24"/>
        </w:rPr>
        <w:t>района Новосибир</w:t>
      </w:r>
      <w:r w:rsidR="00D62E82" w:rsidRPr="008B4C8D">
        <w:rPr>
          <w:rFonts w:ascii="Times New Roman" w:hAnsi="Times New Roman" w:cs="Times New Roman"/>
          <w:color w:val="000000" w:themeColor="text1"/>
          <w:sz w:val="24"/>
          <w:szCs w:val="24"/>
        </w:rPr>
        <w:t>ской области №916 от  14.12.2015</w:t>
      </w:r>
      <w:r w:rsidR="00A22EAD" w:rsidRPr="008B4C8D">
        <w:rPr>
          <w:rFonts w:ascii="Times New Roman" w:hAnsi="Times New Roman" w:cs="Times New Roman"/>
          <w:color w:val="000000" w:themeColor="text1"/>
          <w:sz w:val="24"/>
          <w:szCs w:val="24"/>
        </w:rPr>
        <w:t xml:space="preserve"> года, </w:t>
      </w:r>
      <w:r w:rsidRPr="008B4C8D">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8B4C8D">
        <w:rPr>
          <w:rFonts w:ascii="Times New Roman" w:hAnsi="Times New Roman" w:cs="Times New Roman"/>
          <w:color w:val="000000" w:themeColor="text1"/>
          <w:sz w:val="24"/>
          <w:szCs w:val="24"/>
        </w:rPr>
        <w:t>местного</w:t>
      </w:r>
      <w:r w:rsidRPr="008B4C8D">
        <w:rPr>
          <w:rFonts w:ascii="Times New Roman" w:hAnsi="Times New Roman" w:cs="Times New Roman"/>
          <w:color w:val="000000" w:themeColor="text1"/>
          <w:sz w:val="24"/>
          <w:szCs w:val="24"/>
        </w:rPr>
        <w:t xml:space="preserve"> значения, относящимися к областям, указанным в</w:t>
      </w:r>
      <w:r w:rsidR="00524DF9" w:rsidRPr="008B4C8D">
        <w:rPr>
          <w:rFonts w:ascii="Times New Roman" w:hAnsi="Times New Roman" w:cs="Times New Roman"/>
          <w:color w:val="000000" w:themeColor="text1"/>
          <w:sz w:val="24"/>
          <w:szCs w:val="24"/>
        </w:rPr>
        <w:t xml:space="preserve"> </w:t>
      </w:r>
      <w:r w:rsidR="00FF4AAF" w:rsidRPr="008B4C8D">
        <w:rPr>
          <w:rFonts w:ascii="Times New Roman" w:hAnsi="Times New Roman" w:cs="Times New Roman"/>
          <w:color w:val="000000" w:themeColor="text1"/>
          <w:sz w:val="24"/>
          <w:szCs w:val="24"/>
        </w:rPr>
        <w:t>частями  3, 4,  4.1 статьи 29.2</w:t>
      </w:r>
      <w:r w:rsidRPr="008B4C8D">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8B4C8D">
        <w:rPr>
          <w:rFonts w:ascii="Times New Roman" w:hAnsi="Times New Roman" w:cs="Times New Roman"/>
          <w:color w:val="000000" w:themeColor="text1"/>
          <w:sz w:val="24"/>
          <w:szCs w:val="24"/>
        </w:rPr>
        <w:t>местного</w:t>
      </w:r>
      <w:r w:rsidRPr="008B4C8D">
        <w:rPr>
          <w:rFonts w:ascii="Times New Roman" w:hAnsi="Times New Roman" w:cs="Times New Roman"/>
          <w:color w:val="000000" w:themeColor="text1"/>
          <w:sz w:val="24"/>
          <w:szCs w:val="24"/>
        </w:rPr>
        <w:t xml:space="preserve"> значения </w:t>
      </w:r>
      <w:r w:rsidR="00120C42" w:rsidRPr="008B4C8D">
        <w:rPr>
          <w:rFonts w:ascii="Times New Roman" w:hAnsi="Times New Roman" w:cs="Times New Roman"/>
          <w:color w:val="000000" w:themeColor="text1"/>
          <w:sz w:val="24"/>
          <w:szCs w:val="24"/>
        </w:rPr>
        <w:t>поселения</w:t>
      </w:r>
      <w:r w:rsidRPr="008B4C8D">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8B4C8D">
        <w:rPr>
          <w:rFonts w:ascii="Times New Roman" w:hAnsi="Times New Roman" w:cs="Times New Roman"/>
          <w:color w:val="000000" w:themeColor="text1"/>
          <w:sz w:val="24"/>
          <w:szCs w:val="24"/>
        </w:rPr>
        <w:t xml:space="preserve"> поселения.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2. </w:t>
      </w:r>
      <w:r w:rsidR="0039363A" w:rsidRPr="008B4C8D">
        <w:rPr>
          <w:rFonts w:ascii="Times New Roman" w:hAnsi="Times New Roman" w:cs="Times New Roman"/>
          <w:color w:val="000000" w:themeColor="text1"/>
          <w:sz w:val="24"/>
          <w:szCs w:val="24"/>
        </w:rPr>
        <w:t>Местные</w:t>
      </w:r>
      <w:r w:rsidRPr="008B4C8D">
        <w:rPr>
          <w:rFonts w:ascii="Times New Roman" w:hAnsi="Times New Roman" w:cs="Times New Roman"/>
          <w:color w:val="000000" w:themeColor="text1"/>
          <w:sz w:val="24"/>
          <w:szCs w:val="24"/>
        </w:rPr>
        <w:t xml:space="preserve"> нормативы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39363A" w:rsidRPr="008B4C8D">
        <w:rPr>
          <w:rFonts w:ascii="Times New Roman" w:hAnsi="Times New Roman" w:cs="Times New Roman"/>
          <w:color w:val="000000" w:themeColor="text1"/>
          <w:sz w:val="24"/>
          <w:szCs w:val="24"/>
        </w:rPr>
        <w:t xml:space="preserve"> сельсовета Чулымского </w:t>
      </w:r>
      <w:r w:rsidR="00F11B2A" w:rsidRPr="008B4C8D">
        <w:rPr>
          <w:rFonts w:ascii="Times New Roman" w:hAnsi="Times New Roman" w:cs="Times New Roman"/>
          <w:color w:val="000000" w:themeColor="text1"/>
          <w:sz w:val="24"/>
          <w:szCs w:val="24"/>
        </w:rPr>
        <w:t xml:space="preserve">муниципального </w:t>
      </w:r>
      <w:r w:rsidR="0039363A" w:rsidRPr="008B4C8D">
        <w:rPr>
          <w:rFonts w:ascii="Times New Roman" w:hAnsi="Times New Roman" w:cs="Times New Roman"/>
          <w:color w:val="000000" w:themeColor="text1"/>
          <w:sz w:val="24"/>
          <w:szCs w:val="24"/>
        </w:rPr>
        <w:t xml:space="preserve">района </w:t>
      </w:r>
      <w:r w:rsidRPr="008B4C8D">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3. </w:t>
      </w:r>
      <w:r w:rsidR="00302E54" w:rsidRPr="008B4C8D">
        <w:rPr>
          <w:rFonts w:ascii="Times New Roman" w:hAnsi="Times New Roman" w:cs="Times New Roman"/>
          <w:color w:val="000000" w:themeColor="text1"/>
          <w:sz w:val="24"/>
          <w:szCs w:val="24"/>
        </w:rPr>
        <w:t xml:space="preserve">Местные </w:t>
      </w:r>
      <w:r w:rsidRPr="008B4C8D">
        <w:rPr>
          <w:rFonts w:ascii="Times New Roman" w:hAnsi="Times New Roman" w:cs="Times New Roman"/>
          <w:color w:val="000000" w:themeColor="text1"/>
          <w:sz w:val="24"/>
          <w:szCs w:val="24"/>
        </w:rPr>
        <w:t xml:space="preserve">нормативы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302E54" w:rsidRPr="008B4C8D">
        <w:rPr>
          <w:rFonts w:ascii="Times New Roman" w:hAnsi="Times New Roman" w:cs="Times New Roman"/>
          <w:color w:val="000000" w:themeColor="text1"/>
          <w:sz w:val="24"/>
          <w:szCs w:val="24"/>
        </w:rPr>
        <w:t xml:space="preserve"> сельсовета Чулымского</w:t>
      </w:r>
      <w:r w:rsidR="00F11B2A" w:rsidRPr="008B4C8D">
        <w:rPr>
          <w:rFonts w:ascii="Times New Roman" w:hAnsi="Times New Roman" w:cs="Times New Roman"/>
          <w:color w:val="000000" w:themeColor="text1"/>
          <w:sz w:val="24"/>
          <w:szCs w:val="24"/>
        </w:rPr>
        <w:t xml:space="preserve"> муниципального</w:t>
      </w:r>
      <w:r w:rsidR="00302E54" w:rsidRPr="008B4C8D">
        <w:rPr>
          <w:rFonts w:ascii="Times New Roman" w:hAnsi="Times New Roman" w:cs="Times New Roman"/>
          <w:color w:val="000000" w:themeColor="text1"/>
          <w:sz w:val="24"/>
          <w:szCs w:val="24"/>
        </w:rPr>
        <w:t xml:space="preserve"> района </w:t>
      </w:r>
      <w:r w:rsidRPr="008B4C8D">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8B4C8D" w:rsidRDefault="00320B0D">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4</w:t>
      </w:r>
      <w:r w:rsidR="00DD3E5E" w:rsidRPr="008B4C8D">
        <w:rPr>
          <w:rFonts w:ascii="Times New Roman" w:hAnsi="Times New Roman" w:cs="Times New Roman"/>
          <w:color w:val="000000" w:themeColor="text1"/>
          <w:sz w:val="24"/>
          <w:szCs w:val="24"/>
        </w:rPr>
        <w:t xml:space="preserve">. </w:t>
      </w:r>
      <w:r w:rsidR="0004691E" w:rsidRPr="008B4C8D">
        <w:rPr>
          <w:rFonts w:ascii="Times New Roman" w:hAnsi="Times New Roman" w:cs="Times New Roman"/>
          <w:color w:val="000000" w:themeColor="text1"/>
          <w:sz w:val="24"/>
          <w:szCs w:val="24"/>
        </w:rPr>
        <w:t xml:space="preserve">Местные </w:t>
      </w:r>
      <w:r w:rsidR="00DD3E5E" w:rsidRPr="008B4C8D">
        <w:rPr>
          <w:rFonts w:ascii="Times New Roman" w:hAnsi="Times New Roman" w:cs="Times New Roman"/>
          <w:color w:val="000000" w:themeColor="text1"/>
          <w:sz w:val="24"/>
          <w:szCs w:val="24"/>
        </w:rPr>
        <w:t xml:space="preserve">нормативы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04691E" w:rsidRPr="008B4C8D">
        <w:rPr>
          <w:rFonts w:ascii="Times New Roman" w:hAnsi="Times New Roman" w:cs="Times New Roman"/>
          <w:color w:val="000000" w:themeColor="text1"/>
          <w:sz w:val="24"/>
          <w:szCs w:val="24"/>
        </w:rPr>
        <w:t xml:space="preserve"> сельсовета Чулымского </w:t>
      </w:r>
      <w:r w:rsidR="00F11B2A" w:rsidRPr="008B4C8D">
        <w:rPr>
          <w:rFonts w:ascii="Times New Roman" w:hAnsi="Times New Roman" w:cs="Times New Roman"/>
          <w:color w:val="000000" w:themeColor="text1"/>
          <w:sz w:val="24"/>
          <w:szCs w:val="24"/>
        </w:rPr>
        <w:t xml:space="preserve">муниципального </w:t>
      </w:r>
      <w:r w:rsidR="0004691E" w:rsidRPr="008B4C8D">
        <w:rPr>
          <w:rFonts w:ascii="Times New Roman" w:hAnsi="Times New Roman" w:cs="Times New Roman"/>
          <w:color w:val="000000" w:themeColor="text1"/>
          <w:sz w:val="24"/>
          <w:szCs w:val="24"/>
        </w:rPr>
        <w:t xml:space="preserve">района </w:t>
      </w:r>
      <w:r w:rsidR="00DD3E5E" w:rsidRPr="008B4C8D">
        <w:rPr>
          <w:rFonts w:ascii="Times New Roman" w:hAnsi="Times New Roman" w:cs="Times New Roman"/>
          <w:color w:val="000000" w:themeColor="text1"/>
          <w:sz w:val="24"/>
          <w:szCs w:val="24"/>
        </w:rPr>
        <w:t>Новосибирской области включают в себя: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w:t>
      </w:r>
      <w:r w:rsidRPr="008B4C8D">
        <w:rPr>
          <w:rFonts w:ascii="Times New Roman" w:hAnsi="Times New Roman" w:cs="Times New Roman"/>
          <w:color w:val="000000" w:themeColor="text1"/>
          <w:sz w:val="24"/>
          <w:szCs w:val="24"/>
        </w:rPr>
        <w:lastRenderedPageBreak/>
        <w:t xml:space="preserve">обеспеченности объектами </w:t>
      </w:r>
      <w:r w:rsidR="0004691E" w:rsidRPr="008B4C8D">
        <w:rPr>
          <w:rFonts w:ascii="Times New Roman" w:hAnsi="Times New Roman" w:cs="Times New Roman"/>
          <w:color w:val="000000" w:themeColor="text1"/>
          <w:sz w:val="24"/>
          <w:szCs w:val="24"/>
        </w:rPr>
        <w:t>местного</w:t>
      </w:r>
      <w:r w:rsidRPr="008B4C8D">
        <w:rPr>
          <w:rFonts w:ascii="Times New Roman" w:hAnsi="Times New Roman" w:cs="Times New Roman"/>
          <w:color w:val="000000" w:themeColor="text1"/>
          <w:sz w:val="24"/>
          <w:szCs w:val="24"/>
        </w:rPr>
        <w:t xml:space="preserve"> значения, относящимися к областям, указанным в </w:t>
      </w:r>
      <w:r w:rsidR="0004691E" w:rsidRPr="008B4C8D">
        <w:rPr>
          <w:rFonts w:ascii="Times New Roman" w:hAnsi="Times New Roman" w:cs="Times New Roman"/>
          <w:color w:val="000000" w:themeColor="text1"/>
          <w:sz w:val="24"/>
          <w:szCs w:val="24"/>
        </w:rPr>
        <w:t xml:space="preserve">пункте 1 </w:t>
      </w:r>
      <w:hyperlink r:id="rId6" w:history="1">
        <w:r w:rsidRPr="008B4C8D">
          <w:rPr>
            <w:rFonts w:ascii="Times New Roman" w:hAnsi="Times New Roman" w:cs="Times New Roman"/>
            <w:color w:val="000000" w:themeColor="text1"/>
            <w:sz w:val="24"/>
            <w:szCs w:val="24"/>
          </w:rPr>
          <w:t xml:space="preserve">части </w:t>
        </w:r>
        <w:r w:rsidR="0004691E" w:rsidRPr="008B4C8D">
          <w:rPr>
            <w:rFonts w:ascii="Times New Roman" w:hAnsi="Times New Roman" w:cs="Times New Roman"/>
            <w:color w:val="000000" w:themeColor="text1"/>
            <w:sz w:val="24"/>
            <w:szCs w:val="24"/>
          </w:rPr>
          <w:t xml:space="preserve">5 статьи </w:t>
        </w:r>
      </w:hyperlink>
      <w:r w:rsidR="0004691E" w:rsidRPr="008B4C8D">
        <w:rPr>
          <w:rFonts w:ascii="Times New Roman" w:hAnsi="Times New Roman" w:cs="Times New Roman"/>
          <w:color w:val="000000" w:themeColor="text1"/>
          <w:sz w:val="24"/>
          <w:szCs w:val="24"/>
        </w:rPr>
        <w:t>23</w:t>
      </w:r>
      <w:r w:rsidRPr="008B4C8D">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8B4C8D">
        <w:rPr>
          <w:rFonts w:ascii="Times New Roman" w:hAnsi="Times New Roman" w:cs="Times New Roman"/>
          <w:color w:val="000000" w:themeColor="text1"/>
          <w:sz w:val="24"/>
          <w:szCs w:val="24"/>
        </w:rPr>
        <w:t>местного</w:t>
      </w:r>
      <w:r w:rsidRPr="008B4C8D">
        <w:rPr>
          <w:rFonts w:ascii="Times New Roman" w:hAnsi="Times New Roman" w:cs="Times New Roman"/>
          <w:color w:val="000000" w:themeColor="text1"/>
          <w:sz w:val="24"/>
          <w:szCs w:val="24"/>
        </w:rPr>
        <w:t xml:space="preserve"> значения населения</w:t>
      </w:r>
      <w:r w:rsidR="00320B0D" w:rsidRPr="008B4C8D">
        <w:rPr>
          <w:rFonts w:ascii="Times New Roman" w:hAnsi="Times New Roman" w:cs="Times New Roman"/>
          <w:color w:val="000000" w:themeColor="text1"/>
          <w:sz w:val="24"/>
          <w:szCs w:val="24"/>
        </w:rPr>
        <w:t xml:space="preserve"> поселения</w:t>
      </w:r>
      <w:r w:rsidRPr="008B4C8D">
        <w:rPr>
          <w:rFonts w:ascii="Times New Roman" w:hAnsi="Times New Roman" w:cs="Times New Roman"/>
          <w:color w:val="000000" w:themeColor="text1"/>
          <w:sz w:val="24"/>
          <w:szCs w:val="24"/>
        </w:rPr>
        <w:t xml:space="preserve"> и расчетные показатели максимально допустимого уровня территориальной доступности таких объектов для населения</w:t>
      </w:r>
      <w:r w:rsidR="00320B0D" w:rsidRPr="008B4C8D">
        <w:rPr>
          <w:rFonts w:ascii="Times New Roman" w:hAnsi="Times New Roman" w:cs="Times New Roman"/>
          <w:color w:val="000000" w:themeColor="text1"/>
          <w:sz w:val="24"/>
          <w:szCs w:val="24"/>
        </w:rPr>
        <w:t xml:space="preserve"> поселения</w:t>
      </w:r>
      <w:r w:rsidRPr="008B4C8D">
        <w:rPr>
          <w:rFonts w:ascii="Times New Roman" w:hAnsi="Times New Roman" w:cs="Times New Roman"/>
          <w:color w:val="000000" w:themeColor="text1"/>
          <w:sz w:val="24"/>
          <w:szCs w:val="24"/>
        </w:rPr>
        <w:t>;</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нормативов градостроительного проектирования.</w:t>
      </w:r>
    </w:p>
    <w:p w:rsidR="00044C8F" w:rsidRPr="00044C8F" w:rsidRDefault="00044C8F" w:rsidP="00044C8F">
      <w:pPr>
        <w:pStyle w:val="ConsPlusNormal"/>
        <w:ind w:firstLine="540"/>
        <w:jc w:val="both"/>
        <w:rPr>
          <w:rFonts w:ascii="Times New Roman" w:hAnsi="Times New Roman" w:cs="Times New Roman"/>
          <w:color w:val="000000" w:themeColor="text1"/>
          <w:sz w:val="24"/>
          <w:szCs w:val="24"/>
        </w:rPr>
      </w:pPr>
      <w:r w:rsidRPr="00044C8F">
        <w:rPr>
          <w:rFonts w:ascii="Times New Roman" w:hAnsi="Times New Roman" w:cs="Times New Roman"/>
          <w:color w:val="000000" w:themeColor="text1"/>
          <w:sz w:val="24"/>
          <w:szCs w:val="24"/>
        </w:rPr>
        <w:t>5. Местные  нормативы градостроительного проектирования Куликовского сельсовета Чулымского муниципального района 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Default="00044C8F" w:rsidP="00044C8F">
      <w:pPr>
        <w:pStyle w:val="ConsPlusNormal"/>
        <w:ind w:firstLine="540"/>
        <w:jc w:val="both"/>
        <w:rPr>
          <w:rFonts w:ascii="Times New Roman" w:hAnsi="Times New Roman" w:cs="Times New Roman"/>
          <w:color w:val="000000" w:themeColor="text1"/>
          <w:sz w:val="24"/>
          <w:szCs w:val="24"/>
        </w:rPr>
      </w:pPr>
      <w:r w:rsidRPr="00044C8F">
        <w:rPr>
          <w:rFonts w:ascii="Times New Roman" w:hAnsi="Times New Roman" w:cs="Times New Roman"/>
          <w:color w:val="000000" w:themeColor="text1"/>
          <w:sz w:val="24"/>
          <w:szCs w:val="24"/>
        </w:rPr>
        <w:t xml:space="preserve"> 5.1. Расчет обеспеченности объектами общеобразовательных организаций, предусмотренный пунктами 4–6 примечаний к позиции 2 «Общеобразовательные организации» подпункта 4.3 пункта 4 раздела II местных нормативов градостроительного проектирования Куликовского сельсовета Чулымского муниципального района Новосибирской области, подлежит актуализации не реже одного раза в два года.</w:t>
      </w:r>
    </w:p>
    <w:p w:rsidR="00044C8F" w:rsidRPr="008B4C8D" w:rsidRDefault="00044C8F" w:rsidP="00044C8F">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jc w:val="center"/>
        <w:outlineLvl w:val="2"/>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Перечень используемых сокращений</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В </w:t>
      </w:r>
      <w:r w:rsidR="00416A26"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нормативах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A428AF" w:rsidRPr="008B4C8D">
        <w:rPr>
          <w:rFonts w:ascii="Times New Roman" w:hAnsi="Times New Roman" w:cs="Times New Roman"/>
          <w:color w:val="000000" w:themeColor="text1"/>
          <w:sz w:val="24"/>
          <w:szCs w:val="24"/>
        </w:rPr>
        <w:t xml:space="preserve"> сельсовета Чулымского </w:t>
      </w:r>
      <w:r w:rsidR="00CA58E2" w:rsidRPr="008B4C8D">
        <w:rPr>
          <w:rFonts w:ascii="Times New Roman" w:hAnsi="Times New Roman" w:cs="Times New Roman"/>
          <w:color w:val="000000" w:themeColor="text1"/>
          <w:sz w:val="24"/>
          <w:szCs w:val="24"/>
        </w:rPr>
        <w:t xml:space="preserve">муниципального </w:t>
      </w:r>
      <w:r w:rsidR="00A428AF" w:rsidRPr="008B4C8D">
        <w:rPr>
          <w:rFonts w:ascii="Times New Roman" w:hAnsi="Times New Roman" w:cs="Times New Roman"/>
          <w:color w:val="000000" w:themeColor="text1"/>
          <w:sz w:val="24"/>
          <w:szCs w:val="24"/>
        </w:rPr>
        <w:t xml:space="preserve">района </w:t>
      </w:r>
      <w:r w:rsidRPr="008B4C8D">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8B4C8D" w:rsidRPr="008B4C8D">
        <w:tc>
          <w:tcPr>
            <w:tcW w:w="9071" w:type="dxa"/>
            <w:gridSpan w:val="2"/>
          </w:tcPr>
          <w:p w:rsidR="00DD3E5E" w:rsidRPr="008B4C8D" w:rsidRDefault="00DD3E5E">
            <w:pPr>
              <w:pStyle w:val="ConsPlusNormal"/>
              <w:jc w:val="center"/>
              <w:outlineLvl w:val="3"/>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Сокращения слов и словосочетаний</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Сокращение</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Слово/словосочетание</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гг.</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годы</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ГП</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Генеральный план</w:t>
            </w:r>
          </w:p>
        </w:tc>
      </w:tr>
      <w:tr w:rsidR="008B4C8D" w:rsidRPr="008B4C8D">
        <w:tc>
          <w:tcPr>
            <w:tcW w:w="2438" w:type="dxa"/>
          </w:tcPr>
          <w:p w:rsidR="00DD3E5E" w:rsidRPr="008B4C8D" w:rsidRDefault="00282FC9">
            <w:pPr>
              <w:pStyle w:val="ConsPlusNormal"/>
              <w:rPr>
                <w:rFonts w:ascii="Times New Roman" w:hAnsi="Times New Roman" w:cs="Times New Roman"/>
                <w:color w:val="000000" w:themeColor="text1"/>
                <w:sz w:val="24"/>
                <w:szCs w:val="24"/>
              </w:rPr>
            </w:pPr>
            <w:hyperlink r:id="rId7" w:history="1">
              <w:r w:rsidR="00DD3E5E" w:rsidRPr="008B4C8D">
                <w:rPr>
                  <w:rFonts w:ascii="Times New Roman" w:hAnsi="Times New Roman" w:cs="Times New Roman"/>
                  <w:color w:val="000000" w:themeColor="text1"/>
                  <w:sz w:val="24"/>
                  <w:szCs w:val="24"/>
                </w:rPr>
                <w:t>ГрК</w:t>
              </w:r>
            </w:hyperlink>
            <w:r w:rsidR="00DD3E5E" w:rsidRPr="008B4C8D">
              <w:rPr>
                <w:rFonts w:ascii="Times New Roman" w:hAnsi="Times New Roman" w:cs="Times New Roman"/>
                <w:color w:val="000000" w:themeColor="text1"/>
                <w:sz w:val="24"/>
                <w:szCs w:val="24"/>
              </w:rPr>
              <w:t xml:space="preserve"> РФ</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Градостроительный кодекс Российской Федерации</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др.</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другие</w:t>
            </w:r>
          </w:p>
        </w:tc>
      </w:tr>
      <w:tr w:rsidR="008B4C8D" w:rsidRPr="008B4C8D">
        <w:tc>
          <w:tcPr>
            <w:tcW w:w="2438" w:type="dxa"/>
          </w:tcPr>
          <w:p w:rsidR="00DD3E5E" w:rsidRPr="008B4C8D" w:rsidRDefault="00282FC9">
            <w:pPr>
              <w:pStyle w:val="ConsPlusNormal"/>
              <w:rPr>
                <w:rFonts w:ascii="Times New Roman" w:hAnsi="Times New Roman" w:cs="Times New Roman"/>
                <w:color w:val="000000" w:themeColor="text1"/>
                <w:sz w:val="24"/>
                <w:szCs w:val="24"/>
              </w:rPr>
            </w:pPr>
            <w:hyperlink r:id="rId8" w:history="1">
              <w:r w:rsidR="00DD3E5E" w:rsidRPr="008B4C8D">
                <w:rPr>
                  <w:rFonts w:ascii="Times New Roman" w:hAnsi="Times New Roman" w:cs="Times New Roman"/>
                  <w:color w:val="000000" w:themeColor="text1"/>
                  <w:sz w:val="24"/>
                  <w:szCs w:val="24"/>
                </w:rPr>
                <w:t>ЗК</w:t>
              </w:r>
            </w:hyperlink>
            <w:r w:rsidR="00DD3E5E" w:rsidRPr="008B4C8D">
              <w:rPr>
                <w:rFonts w:ascii="Times New Roman" w:hAnsi="Times New Roman" w:cs="Times New Roman"/>
                <w:color w:val="000000" w:themeColor="text1"/>
                <w:sz w:val="24"/>
                <w:szCs w:val="24"/>
              </w:rPr>
              <w:t xml:space="preserve"> РФ</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Земельный кодекс Российской Федерации</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ОМЗ</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Объект местного значения</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ОРЗ</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Объект регионального значения</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пункт</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ПЗЗ</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Правила землепользования и застройки</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пп.</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подпункт</w:t>
            </w:r>
          </w:p>
        </w:tc>
      </w:tr>
      <w:tr w:rsidR="008B4C8D" w:rsidRPr="008B4C8D">
        <w:tc>
          <w:tcPr>
            <w:tcW w:w="2438" w:type="dxa"/>
          </w:tcPr>
          <w:p w:rsidR="00DD3E5E" w:rsidRPr="008B4C8D" w:rsidRDefault="00621782" w:rsidP="00621782">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w:t>
            </w:r>
            <w:r w:rsidR="00DD3E5E" w:rsidRPr="008B4C8D">
              <w:rPr>
                <w:rFonts w:ascii="Times New Roman" w:hAnsi="Times New Roman" w:cs="Times New Roman"/>
                <w:color w:val="000000" w:themeColor="text1"/>
                <w:sz w:val="24"/>
                <w:szCs w:val="24"/>
              </w:rPr>
              <w:t xml:space="preserve">НГП </w:t>
            </w:r>
          </w:p>
        </w:tc>
        <w:tc>
          <w:tcPr>
            <w:tcW w:w="6633" w:type="dxa"/>
          </w:tcPr>
          <w:p w:rsidR="00DD3E5E" w:rsidRPr="008B4C8D" w:rsidRDefault="00621782" w:rsidP="00621782">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Местные</w:t>
            </w:r>
            <w:r w:rsidR="00DD3E5E" w:rsidRPr="008B4C8D">
              <w:rPr>
                <w:rFonts w:ascii="Times New Roman" w:hAnsi="Times New Roman" w:cs="Times New Roman"/>
                <w:color w:val="000000" w:themeColor="text1"/>
                <w:sz w:val="24"/>
                <w:szCs w:val="24"/>
              </w:rPr>
              <w:t xml:space="preserve"> нормативы градостроительного проектирования </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ст.</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статья</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lastRenderedPageBreak/>
              <w:t>ст.ст.</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статьи</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ч.</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часть</w:t>
            </w:r>
          </w:p>
        </w:tc>
      </w:tr>
      <w:tr w:rsidR="008B4C8D" w:rsidRPr="008B4C8D">
        <w:tc>
          <w:tcPr>
            <w:tcW w:w="9071" w:type="dxa"/>
            <w:gridSpan w:val="2"/>
          </w:tcPr>
          <w:p w:rsidR="00DD3E5E" w:rsidRPr="008B4C8D" w:rsidRDefault="00DD3E5E">
            <w:pPr>
              <w:pStyle w:val="ConsPlusNormal"/>
              <w:jc w:val="center"/>
              <w:outlineLvl w:val="3"/>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Сокращения единиц измерений</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Обозначение</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Наименование единицы измерения</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га</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гектар</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кВ</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киловольт</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кв. м</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квадратный метр</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кв. м/тыс. человек</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квадратных метров на тысячу человек</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км</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километр</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км/час</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километр в час</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куб. м</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кубический метр</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метр</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мин.</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минуты</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 кв. м</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тысяча квадратных метров</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 куб. м/сут.</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тысяча кубических метров в сутки</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 т/год</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тысяча тонн в год</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 человек</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тысяча человек</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чел.</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человек</w:t>
            </w:r>
          </w:p>
        </w:tc>
      </w:tr>
      <w:tr w:rsidR="00DD3E5E"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чел./га</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человек на гектар</w:t>
            </w:r>
          </w:p>
        </w:tc>
      </w:tr>
    </w:tbl>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jc w:val="center"/>
        <w:outlineLvl w:val="1"/>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II. Основная часть</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jc w:val="center"/>
        <w:outlineLvl w:val="2"/>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1. Термины и определения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В </w:t>
      </w:r>
      <w:r w:rsidR="008E68B2"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нормативах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8E68B2" w:rsidRPr="008B4C8D">
        <w:rPr>
          <w:rFonts w:ascii="Times New Roman" w:hAnsi="Times New Roman" w:cs="Times New Roman"/>
          <w:color w:val="000000" w:themeColor="text1"/>
          <w:sz w:val="24"/>
          <w:szCs w:val="24"/>
        </w:rPr>
        <w:t xml:space="preserve"> сельсовета Чулымского </w:t>
      </w:r>
      <w:r w:rsidR="00FF4AAF" w:rsidRPr="008B4C8D">
        <w:rPr>
          <w:rFonts w:ascii="Times New Roman" w:hAnsi="Times New Roman" w:cs="Times New Roman"/>
          <w:color w:val="000000" w:themeColor="text1"/>
          <w:sz w:val="24"/>
          <w:szCs w:val="24"/>
        </w:rPr>
        <w:t>муниципа</w:t>
      </w:r>
      <w:r w:rsidR="00260C3B" w:rsidRPr="008B4C8D">
        <w:rPr>
          <w:rFonts w:ascii="Times New Roman" w:hAnsi="Times New Roman" w:cs="Times New Roman"/>
          <w:color w:val="000000" w:themeColor="text1"/>
          <w:sz w:val="24"/>
          <w:szCs w:val="24"/>
        </w:rPr>
        <w:t xml:space="preserve">льного </w:t>
      </w:r>
      <w:r w:rsidR="008E68B2" w:rsidRPr="008B4C8D">
        <w:rPr>
          <w:rFonts w:ascii="Times New Roman" w:hAnsi="Times New Roman" w:cs="Times New Roman"/>
          <w:color w:val="000000" w:themeColor="text1"/>
          <w:sz w:val="24"/>
          <w:szCs w:val="24"/>
        </w:rPr>
        <w:t xml:space="preserve">района </w:t>
      </w:r>
      <w:r w:rsidRPr="008B4C8D">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газонаполнительные станции (ГНС) - предприятия, предназначенные для приема, </w:t>
      </w:r>
      <w:r w:rsidRPr="008B4C8D">
        <w:rPr>
          <w:rFonts w:ascii="Times New Roman" w:hAnsi="Times New Roman" w:cs="Times New Roman"/>
          <w:color w:val="000000" w:themeColor="text1"/>
          <w:sz w:val="24"/>
          <w:szCs w:val="24"/>
        </w:rPr>
        <w:lastRenderedPageBreak/>
        <w:t>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индивидуальный жилой дом - отдельно стоящий жилой дом, предназначенный для проживания одной семьи;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место погребения - часть пространства объекта похоронного назначения, предназначенная для захоронения останков или праха умерших или погибших;</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9" w:history="1">
        <w:r w:rsidRPr="008B4C8D">
          <w:rPr>
            <w:rFonts w:ascii="Times New Roman" w:hAnsi="Times New Roman" w:cs="Times New Roman"/>
            <w:color w:val="000000" w:themeColor="text1"/>
            <w:sz w:val="24"/>
            <w:szCs w:val="24"/>
          </w:rPr>
          <w:t>частями 1</w:t>
        </w:r>
      </w:hyperlink>
      <w:r w:rsidRPr="008B4C8D">
        <w:rPr>
          <w:rFonts w:ascii="Times New Roman" w:hAnsi="Times New Roman" w:cs="Times New Roman"/>
          <w:color w:val="000000" w:themeColor="text1"/>
          <w:sz w:val="24"/>
          <w:szCs w:val="24"/>
        </w:rPr>
        <w:t xml:space="preserve">, </w:t>
      </w:r>
      <w:hyperlink r:id="rId10" w:history="1">
        <w:r w:rsidRPr="008B4C8D">
          <w:rPr>
            <w:rFonts w:ascii="Times New Roman" w:hAnsi="Times New Roman" w:cs="Times New Roman"/>
            <w:color w:val="000000" w:themeColor="text1"/>
            <w:sz w:val="24"/>
            <w:szCs w:val="24"/>
          </w:rPr>
          <w:t>3</w:t>
        </w:r>
      </w:hyperlink>
      <w:r w:rsidRPr="008B4C8D">
        <w:rPr>
          <w:rFonts w:ascii="Times New Roman" w:hAnsi="Times New Roman" w:cs="Times New Roman"/>
          <w:color w:val="000000" w:themeColor="text1"/>
          <w:sz w:val="24"/>
          <w:szCs w:val="24"/>
        </w:rPr>
        <w:t xml:space="preserve"> и </w:t>
      </w:r>
      <w:hyperlink r:id="rId11" w:history="1">
        <w:r w:rsidRPr="008B4C8D">
          <w:rPr>
            <w:rFonts w:ascii="Times New Roman" w:hAnsi="Times New Roman" w:cs="Times New Roman"/>
            <w:color w:val="000000" w:themeColor="text1"/>
            <w:sz w:val="24"/>
            <w:szCs w:val="24"/>
          </w:rPr>
          <w:t>4 статьи 29.2</w:t>
        </w:r>
      </w:hyperlink>
      <w:r w:rsidRPr="008B4C8D">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объекты местного значения - объекты капитального строительства, иные объекты, </w:t>
      </w:r>
      <w:r w:rsidRPr="008B4C8D">
        <w:rPr>
          <w:rFonts w:ascii="Times New Roman" w:hAnsi="Times New Roman" w:cs="Times New Roman"/>
          <w:color w:val="000000" w:themeColor="text1"/>
          <w:sz w:val="24"/>
          <w:szCs w:val="24"/>
        </w:rPr>
        <w:lastRenderedPageBreak/>
        <w:t>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8B4C8D">
        <w:rPr>
          <w:rFonts w:ascii="Times New Roman" w:hAnsi="Times New Roman" w:cs="Times New Roman"/>
          <w:color w:val="000000" w:themeColor="text1"/>
          <w:sz w:val="24"/>
          <w:szCs w:val="24"/>
        </w:rPr>
        <w:t>, муниципальных округов</w:t>
      </w:r>
      <w:r w:rsidRPr="008B4C8D">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8B4C8D">
        <w:rPr>
          <w:rFonts w:ascii="Times New Roman" w:hAnsi="Times New Roman" w:cs="Times New Roman"/>
          <w:color w:val="000000" w:themeColor="text1"/>
          <w:sz w:val="24"/>
          <w:szCs w:val="24"/>
        </w:rPr>
        <w:t xml:space="preserve"> муниципального округа,</w:t>
      </w:r>
      <w:r w:rsidRPr="008B4C8D">
        <w:rPr>
          <w:rFonts w:ascii="Times New Roman" w:hAnsi="Times New Roman" w:cs="Times New Roman"/>
          <w:color w:val="000000" w:themeColor="text1"/>
          <w:sz w:val="24"/>
          <w:szCs w:val="24"/>
        </w:rPr>
        <w:t xml:space="preserve"> городского округа в указанных в </w:t>
      </w:r>
      <w:hyperlink r:id="rId12" w:history="1">
        <w:r w:rsidRPr="008B4C8D">
          <w:rPr>
            <w:rFonts w:ascii="Times New Roman" w:hAnsi="Times New Roman" w:cs="Times New Roman"/>
            <w:color w:val="000000" w:themeColor="text1"/>
            <w:sz w:val="24"/>
            <w:szCs w:val="24"/>
          </w:rPr>
          <w:t>пункте 1 части 3 статьи 19</w:t>
        </w:r>
      </w:hyperlink>
      <w:r w:rsidRPr="008B4C8D">
        <w:rPr>
          <w:rFonts w:ascii="Times New Roman" w:hAnsi="Times New Roman" w:cs="Times New Roman"/>
          <w:color w:val="000000" w:themeColor="text1"/>
          <w:sz w:val="24"/>
          <w:szCs w:val="24"/>
        </w:rPr>
        <w:t xml:space="preserve"> и </w:t>
      </w:r>
      <w:hyperlink r:id="rId13" w:history="1">
        <w:r w:rsidRPr="008B4C8D">
          <w:rPr>
            <w:rFonts w:ascii="Times New Roman" w:hAnsi="Times New Roman" w:cs="Times New Roman"/>
            <w:color w:val="000000" w:themeColor="text1"/>
            <w:sz w:val="24"/>
            <w:szCs w:val="24"/>
          </w:rPr>
          <w:t>пункте 1 части 5 статьи 23</w:t>
        </w:r>
      </w:hyperlink>
      <w:r w:rsidRPr="008B4C8D">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8B4C8D">
        <w:rPr>
          <w:rFonts w:ascii="Times New Roman" w:hAnsi="Times New Roman" w:cs="Times New Roman"/>
          <w:color w:val="000000" w:themeColor="text1"/>
          <w:sz w:val="24"/>
          <w:szCs w:val="24"/>
        </w:rPr>
        <w:t>, генеральном плане муниципального округа</w:t>
      </w:r>
      <w:r w:rsidRPr="008B4C8D">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lastRenderedPageBreak/>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8B4C8D" w:rsidRDefault="00260E90">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иные понятия, используемые в </w:t>
      </w:r>
      <w:r w:rsidR="004E356A" w:rsidRPr="008B4C8D">
        <w:rPr>
          <w:rFonts w:ascii="Times New Roman" w:hAnsi="Times New Roman" w:cs="Times New Roman"/>
          <w:color w:val="000000" w:themeColor="text1"/>
          <w:sz w:val="24"/>
          <w:szCs w:val="24"/>
        </w:rPr>
        <w:t>М</w:t>
      </w:r>
      <w:r w:rsidRPr="008B4C8D">
        <w:rPr>
          <w:rFonts w:ascii="Times New Roman" w:hAnsi="Times New Roman" w:cs="Times New Roman"/>
          <w:color w:val="000000" w:themeColor="text1"/>
          <w:sz w:val="24"/>
          <w:szCs w:val="24"/>
        </w:rPr>
        <w:t xml:space="preserve">НГП </w:t>
      </w:r>
      <w:r w:rsidR="008B4C8D" w:rsidRPr="008B4C8D">
        <w:rPr>
          <w:rFonts w:ascii="Times New Roman" w:hAnsi="Times New Roman" w:cs="Times New Roman"/>
          <w:color w:val="000000" w:themeColor="text1"/>
          <w:sz w:val="24"/>
          <w:szCs w:val="24"/>
        </w:rPr>
        <w:t>Куликовского</w:t>
      </w:r>
      <w:r w:rsidR="004E356A" w:rsidRPr="008B4C8D">
        <w:rPr>
          <w:rFonts w:ascii="Times New Roman" w:hAnsi="Times New Roman" w:cs="Times New Roman"/>
          <w:color w:val="000000" w:themeColor="text1"/>
          <w:sz w:val="24"/>
          <w:szCs w:val="24"/>
        </w:rPr>
        <w:t xml:space="preserve"> сельсовета Чулымского</w:t>
      </w:r>
      <w:r w:rsidR="00260C3B" w:rsidRPr="008B4C8D">
        <w:rPr>
          <w:rFonts w:ascii="Times New Roman" w:hAnsi="Times New Roman" w:cs="Times New Roman"/>
          <w:color w:val="000000" w:themeColor="text1"/>
          <w:sz w:val="24"/>
          <w:szCs w:val="24"/>
        </w:rPr>
        <w:t xml:space="preserve"> муниципального</w:t>
      </w:r>
      <w:r w:rsidR="004E356A" w:rsidRPr="008B4C8D">
        <w:rPr>
          <w:rFonts w:ascii="Times New Roman" w:hAnsi="Times New Roman" w:cs="Times New Roman"/>
          <w:color w:val="000000" w:themeColor="text1"/>
          <w:sz w:val="24"/>
          <w:szCs w:val="24"/>
        </w:rPr>
        <w:t xml:space="preserve"> района </w:t>
      </w:r>
      <w:r w:rsidRPr="008B4C8D">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jc w:val="center"/>
        <w:outlineLvl w:val="2"/>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2. Цели и задачи разработки </w:t>
      </w:r>
      <w:r w:rsidR="00A04660"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нормативов</w:t>
      </w:r>
    </w:p>
    <w:p w:rsidR="00DD3E5E" w:rsidRPr="008B4C8D" w:rsidRDefault="00DD3E5E">
      <w:pPr>
        <w:pStyle w:val="ConsPlusNormal"/>
        <w:jc w:val="center"/>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A04660" w:rsidRPr="008B4C8D">
        <w:rPr>
          <w:rFonts w:ascii="Times New Roman" w:hAnsi="Times New Roman" w:cs="Times New Roman"/>
          <w:color w:val="000000" w:themeColor="text1"/>
          <w:sz w:val="24"/>
          <w:szCs w:val="24"/>
        </w:rPr>
        <w:t xml:space="preserve"> сельсовета Чулымского</w:t>
      </w:r>
      <w:r w:rsidR="00260C3B" w:rsidRPr="008B4C8D">
        <w:rPr>
          <w:rFonts w:ascii="Times New Roman" w:hAnsi="Times New Roman" w:cs="Times New Roman"/>
          <w:color w:val="000000" w:themeColor="text1"/>
          <w:sz w:val="24"/>
          <w:szCs w:val="24"/>
        </w:rPr>
        <w:t xml:space="preserve"> муниципального </w:t>
      </w:r>
      <w:r w:rsidR="00A04660" w:rsidRPr="008B4C8D">
        <w:rPr>
          <w:rFonts w:ascii="Times New Roman" w:hAnsi="Times New Roman" w:cs="Times New Roman"/>
          <w:color w:val="000000" w:themeColor="text1"/>
          <w:sz w:val="24"/>
          <w:szCs w:val="24"/>
        </w:rPr>
        <w:t xml:space="preserve">района </w:t>
      </w:r>
      <w:r w:rsidRPr="008B4C8D">
        <w:rPr>
          <w:rFonts w:ascii="Times New Roman" w:hAnsi="Times New Roman" w:cs="Times New Roman"/>
          <w:color w:val="000000" w:themeColor="text1"/>
          <w:sz w:val="24"/>
          <w:szCs w:val="24"/>
        </w:rPr>
        <w:t>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A04660">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Местные</w:t>
      </w:r>
      <w:r w:rsidR="00DD3E5E" w:rsidRPr="008B4C8D">
        <w:rPr>
          <w:rFonts w:ascii="Times New Roman" w:hAnsi="Times New Roman" w:cs="Times New Roman"/>
          <w:color w:val="000000" w:themeColor="text1"/>
          <w:sz w:val="24"/>
          <w:szCs w:val="24"/>
        </w:rPr>
        <w:t xml:space="preserve"> нормативы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Pr="008B4C8D">
        <w:rPr>
          <w:rFonts w:ascii="Times New Roman" w:hAnsi="Times New Roman" w:cs="Times New Roman"/>
          <w:color w:val="000000" w:themeColor="text1"/>
          <w:sz w:val="24"/>
          <w:szCs w:val="24"/>
        </w:rPr>
        <w:t xml:space="preserve"> сельсовета Чулымского </w:t>
      </w:r>
      <w:r w:rsidR="0046754C" w:rsidRPr="008B4C8D">
        <w:rPr>
          <w:rFonts w:ascii="Times New Roman" w:hAnsi="Times New Roman" w:cs="Times New Roman"/>
          <w:color w:val="000000" w:themeColor="text1"/>
          <w:sz w:val="24"/>
          <w:szCs w:val="24"/>
        </w:rPr>
        <w:t xml:space="preserve">муниципального </w:t>
      </w:r>
      <w:r w:rsidRPr="008B4C8D">
        <w:rPr>
          <w:rFonts w:ascii="Times New Roman" w:hAnsi="Times New Roman" w:cs="Times New Roman"/>
          <w:color w:val="000000" w:themeColor="text1"/>
          <w:sz w:val="24"/>
          <w:szCs w:val="24"/>
        </w:rPr>
        <w:t xml:space="preserve">района </w:t>
      </w:r>
      <w:r w:rsidR="00DD3E5E" w:rsidRPr="008B4C8D">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8B4C8D" w:rsidRDefault="00A04660">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Местные </w:t>
      </w:r>
      <w:r w:rsidR="00DD3E5E" w:rsidRPr="008B4C8D">
        <w:rPr>
          <w:rFonts w:ascii="Times New Roman" w:hAnsi="Times New Roman" w:cs="Times New Roman"/>
          <w:color w:val="000000" w:themeColor="text1"/>
          <w:sz w:val="24"/>
          <w:szCs w:val="24"/>
        </w:rPr>
        <w:t xml:space="preserve">нормативы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Pr="008B4C8D">
        <w:rPr>
          <w:rFonts w:ascii="Times New Roman" w:hAnsi="Times New Roman" w:cs="Times New Roman"/>
          <w:color w:val="000000" w:themeColor="text1"/>
          <w:sz w:val="24"/>
          <w:szCs w:val="24"/>
        </w:rPr>
        <w:t xml:space="preserve"> сельсовета Чулымского </w:t>
      </w:r>
      <w:r w:rsidR="00203D69" w:rsidRPr="008B4C8D">
        <w:rPr>
          <w:rFonts w:ascii="Times New Roman" w:hAnsi="Times New Roman" w:cs="Times New Roman"/>
          <w:color w:val="000000" w:themeColor="text1"/>
          <w:sz w:val="24"/>
          <w:szCs w:val="24"/>
        </w:rPr>
        <w:t>муниципального</w:t>
      </w:r>
      <w:r w:rsidR="0046754C" w:rsidRPr="008B4C8D">
        <w:rPr>
          <w:rFonts w:ascii="Times New Roman" w:hAnsi="Times New Roman" w:cs="Times New Roman"/>
          <w:color w:val="000000" w:themeColor="text1"/>
          <w:sz w:val="24"/>
          <w:szCs w:val="24"/>
        </w:rPr>
        <w:t xml:space="preserve"> </w:t>
      </w:r>
      <w:r w:rsidRPr="008B4C8D">
        <w:rPr>
          <w:rFonts w:ascii="Times New Roman" w:hAnsi="Times New Roman" w:cs="Times New Roman"/>
          <w:color w:val="000000" w:themeColor="text1"/>
          <w:sz w:val="24"/>
          <w:szCs w:val="24"/>
        </w:rPr>
        <w:t xml:space="preserve">района </w:t>
      </w:r>
      <w:r w:rsidR="00DD3E5E" w:rsidRPr="008B4C8D">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нормативах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A04660" w:rsidRPr="008B4C8D">
        <w:rPr>
          <w:rFonts w:ascii="Times New Roman" w:hAnsi="Times New Roman" w:cs="Times New Roman"/>
          <w:color w:val="000000" w:themeColor="text1"/>
          <w:sz w:val="24"/>
          <w:szCs w:val="24"/>
        </w:rPr>
        <w:t xml:space="preserve"> сельсовета Чулымского</w:t>
      </w:r>
      <w:r w:rsidR="0046754C" w:rsidRPr="008B4C8D">
        <w:rPr>
          <w:rFonts w:ascii="Times New Roman" w:hAnsi="Times New Roman" w:cs="Times New Roman"/>
          <w:color w:val="000000" w:themeColor="text1"/>
          <w:sz w:val="24"/>
          <w:szCs w:val="24"/>
        </w:rPr>
        <w:t xml:space="preserve"> муниципального</w:t>
      </w:r>
      <w:r w:rsidR="00A04660" w:rsidRPr="008B4C8D">
        <w:rPr>
          <w:rFonts w:ascii="Times New Roman" w:hAnsi="Times New Roman" w:cs="Times New Roman"/>
          <w:color w:val="000000" w:themeColor="text1"/>
          <w:sz w:val="24"/>
          <w:szCs w:val="24"/>
        </w:rPr>
        <w:t xml:space="preserve"> района </w:t>
      </w:r>
      <w:r w:rsidRPr="008B4C8D">
        <w:rPr>
          <w:rFonts w:ascii="Times New Roman" w:hAnsi="Times New Roman" w:cs="Times New Roman"/>
          <w:color w:val="000000" w:themeColor="text1"/>
          <w:sz w:val="24"/>
          <w:szCs w:val="24"/>
        </w:rPr>
        <w:t>Новосибирской области как равнозначные);</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8B4C8D">
        <w:rPr>
          <w:rFonts w:ascii="Times New Roman" w:hAnsi="Times New Roman" w:cs="Times New Roman"/>
          <w:color w:val="000000" w:themeColor="text1"/>
          <w:sz w:val="24"/>
          <w:szCs w:val="24"/>
        </w:rPr>
        <w:t>поселения</w:t>
      </w:r>
      <w:r w:rsidRPr="008B4C8D">
        <w:rPr>
          <w:rFonts w:ascii="Times New Roman" w:hAnsi="Times New Roman" w:cs="Times New Roman"/>
          <w:color w:val="000000" w:themeColor="text1"/>
          <w:sz w:val="24"/>
          <w:szCs w:val="24"/>
        </w:rPr>
        <w:t>.</w:t>
      </w:r>
    </w:p>
    <w:p w:rsidR="00DD3E5E" w:rsidRPr="008B4C8D" w:rsidRDefault="00A04660">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Местные </w:t>
      </w:r>
      <w:r w:rsidR="00DD3E5E" w:rsidRPr="008B4C8D">
        <w:rPr>
          <w:rFonts w:ascii="Times New Roman" w:hAnsi="Times New Roman" w:cs="Times New Roman"/>
          <w:color w:val="000000" w:themeColor="text1"/>
          <w:sz w:val="24"/>
          <w:szCs w:val="24"/>
        </w:rPr>
        <w:t>нормативы градостроительного проектирования</w:t>
      </w:r>
      <w:r w:rsidRPr="008B4C8D">
        <w:rPr>
          <w:rFonts w:ascii="Times New Roman" w:hAnsi="Times New Roman" w:cs="Times New Roman"/>
          <w:color w:val="000000" w:themeColor="text1"/>
          <w:sz w:val="24"/>
          <w:szCs w:val="24"/>
        </w:rPr>
        <w:t xml:space="preserve"> </w:t>
      </w:r>
      <w:r w:rsidR="008B4C8D" w:rsidRPr="008B4C8D">
        <w:rPr>
          <w:rFonts w:ascii="Times New Roman" w:hAnsi="Times New Roman" w:cs="Times New Roman"/>
          <w:color w:val="000000" w:themeColor="text1"/>
          <w:sz w:val="24"/>
          <w:szCs w:val="24"/>
        </w:rPr>
        <w:t>Куликовского</w:t>
      </w:r>
      <w:r w:rsidRPr="008B4C8D">
        <w:rPr>
          <w:rFonts w:ascii="Times New Roman" w:hAnsi="Times New Roman" w:cs="Times New Roman"/>
          <w:color w:val="000000" w:themeColor="text1"/>
          <w:sz w:val="24"/>
          <w:szCs w:val="24"/>
        </w:rPr>
        <w:t xml:space="preserve"> сельсовета Чулымского </w:t>
      </w:r>
      <w:r w:rsidR="0046754C" w:rsidRPr="008B4C8D">
        <w:rPr>
          <w:rFonts w:ascii="Times New Roman" w:hAnsi="Times New Roman" w:cs="Times New Roman"/>
          <w:color w:val="000000" w:themeColor="text1"/>
          <w:sz w:val="24"/>
          <w:szCs w:val="24"/>
        </w:rPr>
        <w:t xml:space="preserve">муниципального </w:t>
      </w:r>
      <w:r w:rsidRPr="008B4C8D">
        <w:rPr>
          <w:rFonts w:ascii="Times New Roman" w:hAnsi="Times New Roman" w:cs="Times New Roman"/>
          <w:color w:val="000000" w:themeColor="text1"/>
          <w:sz w:val="24"/>
          <w:szCs w:val="24"/>
        </w:rPr>
        <w:t>района</w:t>
      </w:r>
      <w:r w:rsidR="00DD3E5E" w:rsidRPr="008B4C8D">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lastRenderedPageBreak/>
        <w:t>охраны окружающей среды;</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санитарно-гигиенических норм;</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охраны памятников истории и культуры;</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пожарной безопасности.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jc w:val="center"/>
        <w:outlineLvl w:val="2"/>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3. Общая характеристика состава и содержания</w:t>
      </w:r>
    </w:p>
    <w:p w:rsidR="00F524C1" w:rsidRPr="008B4C8D" w:rsidRDefault="00F524C1">
      <w:pPr>
        <w:pStyle w:val="ConsPlusNormal"/>
        <w:jc w:val="center"/>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местных</w:t>
      </w:r>
      <w:r w:rsidR="00DD3E5E" w:rsidRPr="008B4C8D">
        <w:rPr>
          <w:rFonts w:ascii="Times New Roman" w:hAnsi="Times New Roman" w:cs="Times New Roman"/>
          <w:color w:val="000000" w:themeColor="text1"/>
          <w:sz w:val="24"/>
          <w:szCs w:val="24"/>
        </w:rPr>
        <w:t xml:space="preserve"> нормативов градостроительного</w:t>
      </w:r>
      <w:r w:rsidRPr="008B4C8D">
        <w:rPr>
          <w:rFonts w:ascii="Times New Roman" w:hAnsi="Times New Roman" w:cs="Times New Roman"/>
          <w:color w:val="000000" w:themeColor="text1"/>
          <w:sz w:val="24"/>
          <w:szCs w:val="24"/>
        </w:rPr>
        <w:t xml:space="preserve"> </w:t>
      </w:r>
      <w:r w:rsidR="00DD3E5E" w:rsidRPr="008B4C8D">
        <w:rPr>
          <w:rFonts w:ascii="Times New Roman" w:hAnsi="Times New Roman" w:cs="Times New Roman"/>
          <w:color w:val="000000" w:themeColor="text1"/>
          <w:sz w:val="24"/>
          <w:szCs w:val="24"/>
        </w:rPr>
        <w:t xml:space="preserve">проектирования </w:t>
      </w:r>
    </w:p>
    <w:p w:rsidR="00DD3E5E" w:rsidRPr="008B4C8D" w:rsidRDefault="008B4C8D">
      <w:pPr>
        <w:pStyle w:val="ConsPlusNormal"/>
        <w:jc w:val="center"/>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Куликовского</w:t>
      </w:r>
      <w:r w:rsidR="00F524C1" w:rsidRPr="008B4C8D">
        <w:rPr>
          <w:rFonts w:ascii="Times New Roman" w:hAnsi="Times New Roman" w:cs="Times New Roman"/>
          <w:color w:val="000000" w:themeColor="text1"/>
          <w:sz w:val="24"/>
          <w:szCs w:val="24"/>
        </w:rPr>
        <w:t xml:space="preserve"> сельсовета Чулымского</w:t>
      </w:r>
      <w:r w:rsidR="0046754C" w:rsidRPr="008B4C8D">
        <w:rPr>
          <w:rFonts w:ascii="Times New Roman" w:hAnsi="Times New Roman" w:cs="Times New Roman"/>
          <w:color w:val="000000" w:themeColor="text1"/>
          <w:sz w:val="24"/>
          <w:szCs w:val="24"/>
        </w:rPr>
        <w:t xml:space="preserve"> муниципального</w:t>
      </w:r>
      <w:r w:rsidR="00F524C1" w:rsidRPr="008B4C8D">
        <w:rPr>
          <w:rFonts w:ascii="Times New Roman" w:hAnsi="Times New Roman" w:cs="Times New Roman"/>
          <w:color w:val="000000" w:themeColor="text1"/>
          <w:sz w:val="24"/>
          <w:szCs w:val="24"/>
        </w:rPr>
        <w:t xml:space="preserve"> района</w:t>
      </w:r>
      <w:r w:rsidR="0046754C" w:rsidRPr="008B4C8D">
        <w:rPr>
          <w:rFonts w:ascii="Times New Roman" w:hAnsi="Times New Roman" w:cs="Times New Roman"/>
          <w:color w:val="000000" w:themeColor="text1"/>
          <w:sz w:val="24"/>
          <w:szCs w:val="24"/>
        </w:rPr>
        <w:t xml:space="preserve"> </w:t>
      </w:r>
      <w:r w:rsidR="00DD3E5E" w:rsidRPr="008B4C8D">
        <w:rPr>
          <w:rFonts w:ascii="Times New Roman" w:hAnsi="Times New Roman" w:cs="Times New Roman"/>
          <w:color w:val="000000" w:themeColor="text1"/>
          <w:sz w:val="24"/>
          <w:szCs w:val="24"/>
        </w:rPr>
        <w:t>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В соответствии с </w:t>
      </w:r>
      <w:hyperlink r:id="rId14" w:history="1">
        <w:r w:rsidRPr="008B4C8D">
          <w:rPr>
            <w:rFonts w:ascii="Times New Roman" w:hAnsi="Times New Roman" w:cs="Times New Roman"/>
            <w:color w:val="000000" w:themeColor="text1"/>
            <w:sz w:val="24"/>
            <w:szCs w:val="24"/>
          </w:rPr>
          <w:t>ч. 5 ст. 29.2</w:t>
        </w:r>
      </w:hyperlink>
      <w:r w:rsidRPr="008B4C8D">
        <w:rPr>
          <w:rFonts w:ascii="Times New Roman" w:hAnsi="Times New Roman" w:cs="Times New Roman"/>
          <w:color w:val="000000" w:themeColor="text1"/>
          <w:sz w:val="24"/>
          <w:szCs w:val="24"/>
        </w:rPr>
        <w:t xml:space="preserve"> ГрК РФ </w:t>
      </w:r>
      <w:r w:rsidR="00A04660" w:rsidRPr="008B4C8D">
        <w:rPr>
          <w:rFonts w:ascii="Times New Roman" w:hAnsi="Times New Roman" w:cs="Times New Roman"/>
          <w:color w:val="000000" w:themeColor="text1"/>
          <w:sz w:val="24"/>
          <w:szCs w:val="24"/>
        </w:rPr>
        <w:t>местные</w:t>
      </w:r>
      <w:r w:rsidRPr="008B4C8D">
        <w:rPr>
          <w:rFonts w:ascii="Times New Roman" w:hAnsi="Times New Roman" w:cs="Times New Roman"/>
          <w:color w:val="000000" w:themeColor="text1"/>
          <w:sz w:val="24"/>
          <w:szCs w:val="24"/>
        </w:rPr>
        <w:t xml:space="preserve"> нормативы градостроительного проектирования</w:t>
      </w:r>
      <w:r w:rsidR="00A04660" w:rsidRPr="008B4C8D">
        <w:rPr>
          <w:rFonts w:ascii="Times New Roman" w:hAnsi="Times New Roman" w:cs="Times New Roman"/>
          <w:color w:val="000000" w:themeColor="text1"/>
          <w:sz w:val="24"/>
          <w:szCs w:val="24"/>
        </w:rPr>
        <w:t xml:space="preserve"> </w:t>
      </w:r>
      <w:r w:rsidR="008B4C8D" w:rsidRPr="008B4C8D">
        <w:rPr>
          <w:rFonts w:ascii="Times New Roman" w:hAnsi="Times New Roman" w:cs="Times New Roman"/>
          <w:color w:val="000000" w:themeColor="text1"/>
          <w:sz w:val="24"/>
          <w:szCs w:val="24"/>
        </w:rPr>
        <w:t>Куликовского</w:t>
      </w:r>
      <w:r w:rsidR="00A04660" w:rsidRPr="008B4C8D">
        <w:rPr>
          <w:rFonts w:ascii="Times New Roman" w:hAnsi="Times New Roman" w:cs="Times New Roman"/>
          <w:color w:val="000000" w:themeColor="text1"/>
          <w:sz w:val="24"/>
          <w:szCs w:val="24"/>
        </w:rPr>
        <w:t xml:space="preserve"> сельсовета Чулымского </w:t>
      </w:r>
      <w:r w:rsidR="0046754C" w:rsidRPr="008B4C8D">
        <w:rPr>
          <w:rFonts w:ascii="Times New Roman" w:hAnsi="Times New Roman" w:cs="Times New Roman"/>
          <w:color w:val="000000" w:themeColor="text1"/>
          <w:sz w:val="24"/>
          <w:szCs w:val="24"/>
        </w:rPr>
        <w:t xml:space="preserve">муниципального </w:t>
      </w:r>
      <w:r w:rsidR="00A04660" w:rsidRPr="008B4C8D">
        <w:rPr>
          <w:rFonts w:ascii="Times New Roman" w:hAnsi="Times New Roman" w:cs="Times New Roman"/>
          <w:color w:val="000000" w:themeColor="text1"/>
          <w:sz w:val="24"/>
          <w:szCs w:val="24"/>
        </w:rPr>
        <w:t xml:space="preserve">района </w:t>
      </w:r>
      <w:r w:rsidRPr="008B4C8D">
        <w:rPr>
          <w:rFonts w:ascii="Times New Roman" w:hAnsi="Times New Roman" w:cs="Times New Roman"/>
          <w:color w:val="000000" w:themeColor="text1"/>
          <w:sz w:val="24"/>
          <w:szCs w:val="24"/>
        </w:rPr>
        <w:t xml:space="preserve"> Новосибирской области включают в себя: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9D0097" w:rsidRPr="008B4C8D">
        <w:rPr>
          <w:rFonts w:ascii="Times New Roman" w:hAnsi="Times New Roman" w:cs="Times New Roman"/>
          <w:color w:val="000000" w:themeColor="text1"/>
          <w:sz w:val="24"/>
          <w:szCs w:val="24"/>
        </w:rPr>
        <w:t>местного</w:t>
      </w:r>
      <w:r w:rsidRPr="008B4C8D">
        <w:rPr>
          <w:rFonts w:ascii="Times New Roman" w:hAnsi="Times New Roman" w:cs="Times New Roman"/>
          <w:color w:val="000000" w:themeColor="text1"/>
          <w:sz w:val="24"/>
          <w:szCs w:val="24"/>
        </w:rPr>
        <w:t xml:space="preserve"> значения, относящимися к областям, указанным в </w:t>
      </w:r>
      <w:r w:rsidR="009D0097" w:rsidRPr="008B4C8D">
        <w:rPr>
          <w:rFonts w:ascii="Times New Roman" w:hAnsi="Times New Roman" w:cs="Times New Roman"/>
          <w:color w:val="000000" w:themeColor="text1"/>
          <w:sz w:val="24"/>
          <w:szCs w:val="24"/>
        </w:rPr>
        <w:t xml:space="preserve"> пункте 1 </w:t>
      </w:r>
      <w:hyperlink r:id="rId15" w:history="1">
        <w:r w:rsidR="009D0097" w:rsidRPr="008B4C8D">
          <w:rPr>
            <w:rFonts w:ascii="Times New Roman" w:hAnsi="Times New Roman" w:cs="Times New Roman"/>
            <w:color w:val="000000" w:themeColor="text1"/>
            <w:sz w:val="24"/>
            <w:szCs w:val="24"/>
          </w:rPr>
          <w:t xml:space="preserve">ч. 5 ст. </w:t>
        </w:r>
      </w:hyperlink>
      <w:r w:rsidR="009D0097" w:rsidRPr="008B4C8D">
        <w:rPr>
          <w:rFonts w:ascii="Times New Roman" w:hAnsi="Times New Roman" w:cs="Times New Roman"/>
          <w:color w:val="000000" w:themeColor="text1"/>
          <w:sz w:val="24"/>
          <w:szCs w:val="24"/>
        </w:rPr>
        <w:t>23</w:t>
      </w:r>
      <w:r w:rsidRPr="008B4C8D">
        <w:rPr>
          <w:rFonts w:ascii="Times New Roman" w:hAnsi="Times New Roman" w:cs="Times New Roman"/>
          <w:color w:val="000000" w:themeColor="text1"/>
          <w:sz w:val="24"/>
          <w:szCs w:val="24"/>
        </w:rPr>
        <w:t xml:space="preserve"> ГрК РФ, иными объектами </w:t>
      </w:r>
      <w:r w:rsidR="009D0097" w:rsidRPr="008B4C8D">
        <w:rPr>
          <w:rFonts w:ascii="Times New Roman" w:hAnsi="Times New Roman" w:cs="Times New Roman"/>
          <w:color w:val="000000" w:themeColor="text1"/>
          <w:sz w:val="24"/>
          <w:szCs w:val="24"/>
        </w:rPr>
        <w:t>местного</w:t>
      </w:r>
      <w:r w:rsidRPr="008B4C8D">
        <w:rPr>
          <w:rFonts w:ascii="Times New Roman" w:hAnsi="Times New Roman" w:cs="Times New Roman"/>
          <w:color w:val="000000" w:themeColor="text1"/>
          <w:sz w:val="24"/>
          <w:szCs w:val="24"/>
        </w:rPr>
        <w:t xml:space="preserve"> значения </w:t>
      </w:r>
      <w:r w:rsidR="009D0097" w:rsidRPr="008B4C8D">
        <w:rPr>
          <w:rFonts w:ascii="Times New Roman" w:hAnsi="Times New Roman" w:cs="Times New Roman"/>
          <w:color w:val="000000" w:themeColor="text1"/>
          <w:sz w:val="24"/>
          <w:szCs w:val="24"/>
        </w:rPr>
        <w:t xml:space="preserve">поселения, </w:t>
      </w:r>
      <w:r w:rsidRPr="008B4C8D">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8B4C8D">
        <w:rPr>
          <w:rFonts w:ascii="Times New Roman" w:hAnsi="Times New Roman" w:cs="Times New Roman"/>
          <w:color w:val="000000" w:themeColor="text1"/>
          <w:sz w:val="24"/>
          <w:szCs w:val="24"/>
        </w:rPr>
        <w:t>поселения</w:t>
      </w:r>
      <w:r w:rsidRPr="008B4C8D">
        <w:rPr>
          <w:rFonts w:ascii="Times New Roman" w:hAnsi="Times New Roman" w:cs="Times New Roman"/>
          <w:color w:val="000000" w:themeColor="text1"/>
          <w:sz w:val="24"/>
          <w:szCs w:val="24"/>
        </w:rPr>
        <w:t>);</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нормативов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9246BC" w:rsidRPr="008B4C8D">
        <w:rPr>
          <w:rFonts w:ascii="Times New Roman" w:hAnsi="Times New Roman" w:cs="Times New Roman"/>
          <w:color w:val="000000" w:themeColor="text1"/>
          <w:sz w:val="24"/>
          <w:szCs w:val="24"/>
        </w:rPr>
        <w:t xml:space="preserve"> сельсовета Чулымского</w:t>
      </w:r>
      <w:r w:rsidR="0046754C" w:rsidRPr="008B4C8D">
        <w:rPr>
          <w:rFonts w:ascii="Times New Roman" w:hAnsi="Times New Roman" w:cs="Times New Roman"/>
          <w:color w:val="000000" w:themeColor="text1"/>
          <w:sz w:val="24"/>
          <w:szCs w:val="24"/>
        </w:rPr>
        <w:t xml:space="preserve"> муниципального</w:t>
      </w:r>
      <w:r w:rsidR="009246BC" w:rsidRPr="008B4C8D">
        <w:rPr>
          <w:rFonts w:ascii="Times New Roman" w:hAnsi="Times New Roman" w:cs="Times New Roman"/>
          <w:color w:val="000000" w:themeColor="text1"/>
          <w:sz w:val="24"/>
          <w:szCs w:val="24"/>
        </w:rPr>
        <w:t xml:space="preserve"> района </w:t>
      </w:r>
      <w:r w:rsidRPr="008B4C8D">
        <w:rPr>
          <w:rFonts w:ascii="Times New Roman" w:hAnsi="Times New Roman" w:cs="Times New Roman"/>
          <w:color w:val="000000" w:themeColor="text1"/>
          <w:sz w:val="24"/>
          <w:szCs w:val="24"/>
        </w:rPr>
        <w:t>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8B4C8D">
        <w:rPr>
          <w:rFonts w:ascii="Times New Roman" w:hAnsi="Times New Roman" w:cs="Times New Roman"/>
          <w:color w:val="000000" w:themeColor="text1"/>
          <w:sz w:val="24"/>
          <w:szCs w:val="24"/>
        </w:rPr>
        <w:t xml:space="preserve"> </w:t>
      </w:r>
      <w:r w:rsidR="008B4C8D" w:rsidRPr="008B4C8D">
        <w:rPr>
          <w:rFonts w:ascii="Times New Roman" w:hAnsi="Times New Roman" w:cs="Times New Roman"/>
          <w:color w:val="000000" w:themeColor="text1"/>
          <w:sz w:val="24"/>
          <w:szCs w:val="24"/>
        </w:rPr>
        <w:t>Куликовского</w:t>
      </w:r>
      <w:r w:rsidR="009246BC" w:rsidRPr="008B4C8D">
        <w:rPr>
          <w:rFonts w:ascii="Times New Roman" w:hAnsi="Times New Roman" w:cs="Times New Roman"/>
          <w:color w:val="000000" w:themeColor="text1"/>
          <w:sz w:val="24"/>
          <w:szCs w:val="24"/>
        </w:rPr>
        <w:t xml:space="preserve"> сельсовета Чулымского </w:t>
      </w:r>
      <w:r w:rsidR="0046754C" w:rsidRPr="008B4C8D">
        <w:rPr>
          <w:rFonts w:ascii="Times New Roman" w:hAnsi="Times New Roman" w:cs="Times New Roman"/>
          <w:color w:val="000000" w:themeColor="text1"/>
          <w:sz w:val="24"/>
          <w:szCs w:val="24"/>
        </w:rPr>
        <w:t xml:space="preserve">муниципального </w:t>
      </w:r>
      <w:r w:rsidR="009246BC" w:rsidRPr="008B4C8D">
        <w:rPr>
          <w:rFonts w:ascii="Times New Roman" w:hAnsi="Times New Roman" w:cs="Times New Roman"/>
          <w:color w:val="000000" w:themeColor="text1"/>
          <w:sz w:val="24"/>
          <w:szCs w:val="24"/>
        </w:rPr>
        <w:t>района</w:t>
      </w:r>
      <w:r w:rsidRPr="008B4C8D">
        <w:rPr>
          <w:rFonts w:ascii="Times New Roman" w:hAnsi="Times New Roman" w:cs="Times New Roman"/>
          <w:color w:val="000000" w:themeColor="text1"/>
          <w:sz w:val="24"/>
          <w:szCs w:val="24"/>
        </w:rPr>
        <w:t xml:space="preserve"> Новосибирской области.</w:t>
      </w:r>
    </w:p>
    <w:p w:rsidR="00DD3E5E" w:rsidRPr="00ED24E8" w:rsidRDefault="00DD3E5E">
      <w:pPr>
        <w:pStyle w:val="ConsPlusNormal"/>
        <w:ind w:firstLine="540"/>
        <w:jc w:val="both"/>
        <w:rPr>
          <w:rFonts w:ascii="Times New Roman" w:hAnsi="Times New Roman" w:cs="Times New Roman"/>
          <w:sz w:val="24"/>
          <w:szCs w:val="24"/>
        </w:rPr>
      </w:pPr>
    </w:p>
    <w:p w:rsidR="00F10204" w:rsidRDefault="00F10204" w:rsidP="00F10204">
      <w:pPr>
        <w:widowControl w:val="0"/>
        <w:suppressAutoHyphens/>
        <w:snapToGrid/>
        <w:spacing w:before="0" w:after="0"/>
        <w:ind w:firstLine="709"/>
        <w:rPr>
          <w:bCs/>
          <w:sz w:val="28"/>
          <w:szCs w:val="28"/>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Мачтовые подстанции мощностью от 25 до 250 кВА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Комплектные подстанции с одним трансформатором мощностью от 25 до 630 кВА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Комплектные подстанции с двумя трансформаторами мощностью от 160 до 630 кВА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типа мощностью от 160 до 630 кВА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°C·сут.),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газомазутном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л/сут.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л/сут.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м/сут.</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ДПос</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УГл</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УЖо</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УЖв</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Прх</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ДПос</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УГл</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УЖо</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УЖв</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Прх</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ДПос</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УГл</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УЖо</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УЖв</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Прх</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282FC9">
              <w:rPr>
                <w:rFonts w:ascii="Times New Roman" w:hAnsi="Times New Roman" w:cs="Times New Roman"/>
                <w:position w:val="-10"/>
                <w:sz w:val="24"/>
                <w:szCs w:val="24"/>
              </w:rPr>
              <w:pict>
                <v:shape id="_x0000_i1025" style="width:17.15pt;height:17.15pt" coordsize="" o:spt="100" adj="0,,0" path="" filled="f" stroked="f">
                  <v:stroke joinstyle="miter"/>
                  <v:imagedata r:id="rId16"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282FC9">
              <w:rPr>
                <w:rFonts w:ascii="Times New Roman" w:hAnsi="Times New Roman" w:cs="Times New Roman"/>
                <w:position w:val="-10"/>
                <w:sz w:val="24"/>
                <w:szCs w:val="24"/>
              </w:rPr>
              <w:pict>
                <v:shape id="_x0000_i1026" style="width:32.55pt;height:17.15pt" coordsize="" o:spt="100" adj="0,,0" path="" filled="f" stroked="f">
                  <v:stroke joinstyle="miter"/>
                  <v:imagedata r:id="rId17"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двухполосной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отстойно-разворотной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отстойно-разворотной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Автогазозаправочные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D7917">
        <w:tblPrEx>
          <w:tblBorders>
            <w:insideH w:val="nil"/>
          </w:tblBorders>
        </w:tblPrEx>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044C8F" w:rsidRPr="00044C8F" w:rsidRDefault="00044C8F" w:rsidP="00044C8F">
            <w:pPr>
              <w:pStyle w:val="ConsPlusNormal"/>
              <w:jc w:val="both"/>
              <w:rPr>
                <w:rFonts w:ascii="Times New Roman" w:hAnsi="Times New Roman" w:cs="Times New Roman"/>
                <w:sz w:val="24"/>
                <w:szCs w:val="24"/>
              </w:rPr>
            </w:pPr>
            <w:r w:rsidRPr="00044C8F">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044C8F" w:rsidRPr="00044C8F" w:rsidRDefault="00044C8F" w:rsidP="00044C8F">
            <w:pPr>
              <w:pStyle w:val="ConsPlusNormal"/>
              <w:jc w:val="both"/>
              <w:rPr>
                <w:rFonts w:ascii="Times New Roman" w:hAnsi="Times New Roman" w:cs="Times New Roman"/>
                <w:sz w:val="24"/>
                <w:szCs w:val="24"/>
              </w:rPr>
            </w:pPr>
            <w:r w:rsidRPr="00044C8F">
              <w:rPr>
                <w:rFonts w:ascii="Times New Roman" w:hAnsi="Times New Roman" w:cs="Times New Roman"/>
                <w:sz w:val="24"/>
                <w:szCs w:val="24"/>
              </w:rPr>
              <w:t xml:space="preserve">2. Размеры земельных участков школ могут быть уменьшены на 20–40% – в условиях реконструкции и в стесненных условиях, а также в климатическом подрайоне строительства IB (в соответствии с СП 131.13330.2020. Свод правил. Строительная климатология. СНиП 23-01-99*); увеличены на 30% – в сельских поселениях, если для организации учебно-опытной работы не предусмотрены специальные участки. </w:t>
            </w:r>
          </w:p>
          <w:p w:rsidR="00044C8F" w:rsidRPr="00044C8F" w:rsidRDefault="00044C8F" w:rsidP="00044C8F">
            <w:pPr>
              <w:pStyle w:val="ConsPlusNormal"/>
              <w:jc w:val="both"/>
              <w:rPr>
                <w:rFonts w:ascii="Times New Roman" w:hAnsi="Times New Roman" w:cs="Times New Roman"/>
                <w:sz w:val="24"/>
                <w:szCs w:val="24"/>
              </w:rPr>
            </w:pPr>
            <w:r w:rsidRPr="00044C8F">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p w:rsidR="00044C8F" w:rsidRPr="00044C8F" w:rsidRDefault="00044C8F" w:rsidP="00044C8F">
            <w:pPr>
              <w:pStyle w:val="ConsPlusNormal"/>
              <w:jc w:val="both"/>
              <w:rPr>
                <w:rFonts w:ascii="Times New Roman" w:hAnsi="Times New Roman" w:cs="Times New Roman"/>
                <w:sz w:val="24"/>
                <w:szCs w:val="24"/>
              </w:rPr>
            </w:pPr>
            <w:r w:rsidRPr="00044C8F">
              <w:rPr>
                <w:rFonts w:ascii="Times New Roman" w:hAnsi="Times New Roman" w:cs="Times New Roman"/>
                <w:sz w:val="24"/>
                <w:szCs w:val="24"/>
              </w:rPr>
              <w:t>4. При подготовке градостроительной документации, в случаях, предусмотренных статьями 67–71 Градостроительного кодекса Российской Федерации, расчет обеспеченности объектами общеобразовательных организаций осуществляется с возможностью обучения в две смены,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1,636  к нормативной вместимости объекта, рассчитанной органом местного самоуправления муниципального образования, с учетом возможной вместимости обучающихся в одну смену в соответствии с СП 2.4.3648-20 «Санитарно-эпидемиологические требования к организациям воспитания и обучения, отдыха и оздоровления детей и молодежи».</w:t>
            </w:r>
          </w:p>
          <w:p w:rsidR="00044C8F" w:rsidRPr="00044C8F" w:rsidRDefault="00044C8F" w:rsidP="00044C8F">
            <w:pPr>
              <w:pStyle w:val="ConsPlusNormal"/>
              <w:jc w:val="both"/>
              <w:rPr>
                <w:rFonts w:ascii="Times New Roman" w:hAnsi="Times New Roman" w:cs="Times New Roman"/>
                <w:sz w:val="24"/>
                <w:szCs w:val="24"/>
              </w:rPr>
            </w:pPr>
            <w:r w:rsidRPr="00044C8F">
              <w:rPr>
                <w:rFonts w:ascii="Times New Roman" w:hAnsi="Times New Roman" w:cs="Times New Roman"/>
                <w:sz w:val="24"/>
                <w:szCs w:val="24"/>
              </w:rPr>
              <w:t>5. В градостроительной документации в случаях, предусмотренных статьями 67–71 Градостроительного кодекса Российской Федерации, подлежит учету фактическая вместимость существующих объектов общеобразовательных организаций, расчет которой осуществляется исходя из площади жилья, расположенного в радиусе доступности от данных объектов, а также объема жилья, на который в радиусе доступности от данных объектов выданы разрешения на строительство, и нормативной обеспеченности жителей объектами общеобразовательных организаций, а также с учетом коэффициента сменности.</w:t>
            </w:r>
          </w:p>
          <w:p w:rsidR="00DD3E5E" w:rsidRPr="00ED24E8" w:rsidRDefault="00044C8F" w:rsidP="00044C8F">
            <w:pPr>
              <w:pStyle w:val="ConsPlusNormal"/>
              <w:jc w:val="both"/>
              <w:rPr>
                <w:rFonts w:ascii="Times New Roman" w:hAnsi="Times New Roman" w:cs="Times New Roman"/>
                <w:sz w:val="24"/>
                <w:szCs w:val="24"/>
              </w:rPr>
            </w:pPr>
            <w:r w:rsidRPr="00044C8F">
              <w:rPr>
                <w:rFonts w:ascii="Times New Roman" w:hAnsi="Times New Roman" w:cs="Times New Roman"/>
                <w:sz w:val="24"/>
                <w:szCs w:val="24"/>
              </w:rPr>
              <w:t>6. При подготовке документации по планировке территории в случаях, предусмотренных статьями 67–71 Градостроительного кодекса Российской Федерации, возможно предусматривать расчет обеспеченности не менее 60% планируемого для проживания на данной территории населения объектами социальной инфраструктуры при вводе многоквартирных жилых домов в эксплуатацию. В отношении остальных не более 40%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w:t>
            </w:r>
          </w:p>
        </w:tc>
      </w:tr>
      <w:tr w:rsidR="00DD3E5E" w:rsidRPr="00ED24E8" w:rsidTr="00ED7917">
        <w:tblPrEx>
          <w:tblBorders>
            <w:insideH w:val="nil"/>
          </w:tblBorders>
        </w:tblPrEx>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размещение преимущественно в административных центрах муниципальных районов в пределах транспортной </w:t>
            </w:r>
            <w:r w:rsidRPr="00ED24E8">
              <w:rPr>
                <w:rFonts w:ascii="Times New Roman" w:hAnsi="Times New Roman" w:cs="Times New Roman"/>
                <w:sz w:val="24"/>
                <w:szCs w:val="24"/>
              </w:rPr>
              <w:lastRenderedPageBreak/>
              <w:t>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r w:rsidR="00C2020D" w:rsidRPr="00C2020D">
              <w:rPr>
                <w:rFonts w:ascii="Times New Roman" w:hAnsi="Times New Roman" w:cs="Times New Roman"/>
                <w:sz w:val="24"/>
                <w:szCs w:val="24"/>
              </w:rPr>
              <w:t>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расположенных на территории соответствующего муниципального образования.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доращиванию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r w:rsidR="00044C8F">
              <w:rPr>
                <w:rFonts w:ascii="Times New Roman" w:hAnsi="Times New Roman" w:cs="Times New Roman"/>
                <w:sz w:val="24"/>
                <w:szCs w:val="24"/>
              </w:rPr>
              <w:t>.</w:t>
            </w:r>
          </w:p>
          <w:p w:rsidR="00044C8F" w:rsidRPr="00ED24E8" w:rsidRDefault="00044C8F">
            <w:pPr>
              <w:pStyle w:val="ConsPlusNormal"/>
              <w:jc w:val="both"/>
              <w:rPr>
                <w:rFonts w:ascii="Times New Roman" w:hAnsi="Times New Roman" w:cs="Times New Roman"/>
                <w:sz w:val="24"/>
                <w:szCs w:val="24"/>
              </w:rPr>
            </w:pPr>
            <w:r w:rsidRPr="00044C8F">
              <w:rPr>
                <w:rFonts w:ascii="Times New Roman" w:hAnsi="Times New Roman" w:cs="Times New Roman"/>
                <w:sz w:val="24"/>
                <w:szCs w:val="24"/>
              </w:rPr>
              <w:t>5. Обеспеченность объектами социальной инфраструктуры гостиниц, апартаментов, комплексов апартаментов, средняя площадь номеров в которых, определяемая как отношение общей площади номеров к общему количеству номеров, составляет 30 кв.м и более, и/или не менее 70% номеров имеют зоны, предназначенные для приготовления пищи, определяется с применением расчетных показателей, аналогичных жилой застройке, исходя их расчета проживающих в номерах.</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в границах земельного участка </w:t>
            </w:r>
            <w:r w:rsidRPr="00ED24E8">
              <w:rPr>
                <w:rFonts w:ascii="Times New Roman" w:hAnsi="Times New Roman" w:cs="Times New Roman"/>
                <w:sz w:val="24"/>
                <w:szCs w:val="24"/>
              </w:rPr>
              <w:lastRenderedPageBreak/>
              <w:t>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площадки </w:t>
            </w:r>
            <w:r w:rsidRPr="00ED24E8">
              <w:rPr>
                <w:rFonts w:ascii="Times New Roman" w:hAnsi="Times New Roman" w:cs="Times New Roman"/>
                <w:sz w:val="24"/>
                <w:szCs w:val="24"/>
              </w:rPr>
              <w:lastRenderedPageBreak/>
              <w:t>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площадки для отдыха взрослого </w:t>
            </w:r>
            <w:r w:rsidRPr="00ED24E8">
              <w:rPr>
                <w:rFonts w:ascii="Times New Roman" w:hAnsi="Times New Roman" w:cs="Times New Roman"/>
                <w:sz w:val="24"/>
                <w:szCs w:val="24"/>
              </w:rPr>
              <w:lastRenderedPageBreak/>
              <w:t>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w:t>
            </w:r>
            <w:r w:rsidRPr="00ED24E8">
              <w:rPr>
                <w:rFonts w:ascii="Times New Roman" w:hAnsi="Times New Roman" w:cs="Times New Roman"/>
                <w:sz w:val="24"/>
                <w:szCs w:val="24"/>
              </w:rPr>
              <w:lastRenderedPageBreak/>
              <w:t>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Расчетный показатель максимально допустимого уровня территориальной </w:t>
            </w:r>
            <w:r w:rsidRPr="001324C3">
              <w:rPr>
                <w:rFonts w:ascii="Times New Roman" w:hAnsi="Times New Roman" w:cs="Times New Roman"/>
                <w:sz w:val="24"/>
                <w:szCs w:val="24"/>
              </w:rPr>
              <w:lastRenderedPageBreak/>
              <w:t>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lastRenderedPageBreak/>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lastRenderedPageBreak/>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Межпоселенческая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044C8F">
            <w:pPr>
              <w:pStyle w:val="ConsPlusNormal"/>
              <w:rPr>
                <w:rFonts w:ascii="Times New Roman" w:hAnsi="Times New Roman" w:cs="Times New Roman"/>
                <w:sz w:val="24"/>
                <w:szCs w:val="24"/>
              </w:rPr>
            </w:pPr>
            <w:r w:rsidRPr="00044C8F">
              <w:rPr>
                <w:rFonts w:ascii="Times New Roman" w:hAnsi="Times New Roman" w:cs="Times New Roman"/>
                <w:sz w:val="24"/>
                <w:szCs w:val="24"/>
              </w:rPr>
              <w:t xml:space="preserve">в соответствии с постановлением </w:t>
            </w:r>
            <w:r w:rsidRPr="00044C8F">
              <w:rPr>
                <w:rFonts w:ascii="Times New Roman" w:hAnsi="Times New Roman" w:cs="Times New Roman"/>
                <w:sz w:val="24"/>
                <w:szCs w:val="24"/>
              </w:rPr>
              <w:lastRenderedPageBreak/>
              <w:t>Правительства Новосибирской области от 08.08.2023 № 362-п «О нормативах минимальной обеспеченности населения площадью торговых объектов для Новосибирской области»</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обществен</w:t>
            </w:r>
            <w:r w:rsidRPr="00ED24E8">
              <w:rPr>
                <w:rFonts w:ascii="Times New Roman" w:hAnsi="Times New Roman" w:cs="Times New Roman"/>
                <w:sz w:val="24"/>
                <w:szCs w:val="24"/>
              </w:rPr>
              <w:lastRenderedPageBreak/>
              <w:t>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Уровень обеспеченности, кв.м.</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Не менее 10,5 кв.м.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044C8F" w:rsidRPr="00044C8F" w:rsidRDefault="00044C8F" w:rsidP="00044C8F">
      <w:pPr>
        <w:widowControl w:val="0"/>
        <w:autoSpaceDE w:val="0"/>
        <w:autoSpaceDN w:val="0"/>
        <w:snapToGrid/>
        <w:spacing w:before="0" w:after="0"/>
        <w:ind w:firstLine="709"/>
        <w:jc w:val="center"/>
        <w:outlineLvl w:val="3"/>
        <w:rPr>
          <w:rFonts w:eastAsiaTheme="minorEastAsia"/>
          <w:szCs w:val="24"/>
        </w:rPr>
      </w:pPr>
      <w:r w:rsidRPr="00044C8F">
        <w:rPr>
          <w:rFonts w:eastAsiaTheme="minorEastAsia"/>
          <w:szCs w:val="24"/>
        </w:rPr>
        <w:lastRenderedPageBreak/>
        <w:t>4.6. Предельные значения расчетных показателей минимально</w:t>
      </w:r>
    </w:p>
    <w:p w:rsidR="00044C8F" w:rsidRPr="00044C8F" w:rsidRDefault="00044C8F" w:rsidP="00044C8F">
      <w:pPr>
        <w:widowControl w:val="0"/>
        <w:autoSpaceDE w:val="0"/>
        <w:autoSpaceDN w:val="0"/>
        <w:snapToGrid/>
        <w:spacing w:before="0" w:after="0"/>
        <w:ind w:firstLine="709"/>
        <w:jc w:val="center"/>
        <w:rPr>
          <w:rFonts w:eastAsiaTheme="minorEastAsia"/>
          <w:szCs w:val="24"/>
        </w:rPr>
      </w:pPr>
      <w:r w:rsidRPr="00044C8F">
        <w:rPr>
          <w:rFonts w:eastAsiaTheme="minorEastAsia"/>
          <w:szCs w:val="24"/>
        </w:rPr>
        <w:t>допустимого уровня обеспеченности и предельные значения</w:t>
      </w:r>
    </w:p>
    <w:p w:rsidR="00044C8F" w:rsidRPr="00044C8F" w:rsidRDefault="00044C8F" w:rsidP="00044C8F">
      <w:pPr>
        <w:widowControl w:val="0"/>
        <w:autoSpaceDE w:val="0"/>
        <w:autoSpaceDN w:val="0"/>
        <w:snapToGrid/>
        <w:spacing w:before="0" w:after="0"/>
        <w:ind w:firstLine="709"/>
        <w:jc w:val="center"/>
        <w:rPr>
          <w:rFonts w:eastAsiaTheme="minorEastAsia"/>
          <w:szCs w:val="24"/>
        </w:rPr>
      </w:pPr>
      <w:r w:rsidRPr="00044C8F">
        <w:rPr>
          <w:rFonts w:eastAsiaTheme="minorEastAsia"/>
          <w:szCs w:val="24"/>
        </w:rPr>
        <w:t>расчетных показателей максимально допустимого уровня</w:t>
      </w:r>
    </w:p>
    <w:p w:rsidR="00044C8F" w:rsidRPr="00044C8F" w:rsidRDefault="00044C8F" w:rsidP="00044C8F">
      <w:pPr>
        <w:widowControl w:val="0"/>
        <w:autoSpaceDE w:val="0"/>
        <w:autoSpaceDN w:val="0"/>
        <w:snapToGrid/>
        <w:spacing w:before="0" w:after="0"/>
        <w:ind w:firstLine="709"/>
        <w:jc w:val="center"/>
        <w:rPr>
          <w:rFonts w:eastAsiaTheme="minorEastAsia"/>
          <w:szCs w:val="24"/>
        </w:rPr>
      </w:pPr>
      <w:r w:rsidRPr="00044C8F">
        <w:rPr>
          <w:rFonts w:eastAsiaTheme="minorEastAsia"/>
          <w:szCs w:val="24"/>
        </w:rPr>
        <w:t>территориальной доступности объектов в области обработки,</w:t>
      </w:r>
    </w:p>
    <w:p w:rsidR="00044C8F" w:rsidRPr="00044C8F" w:rsidRDefault="00044C8F" w:rsidP="00044C8F">
      <w:pPr>
        <w:widowControl w:val="0"/>
        <w:autoSpaceDE w:val="0"/>
        <w:autoSpaceDN w:val="0"/>
        <w:snapToGrid/>
        <w:spacing w:before="0" w:after="0"/>
        <w:ind w:firstLine="709"/>
        <w:jc w:val="center"/>
        <w:rPr>
          <w:rFonts w:eastAsiaTheme="minorEastAsia"/>
          <w:szCs w:val="24"/>
        </w:rPr>
      </w:pPr>
      <w:r w:rsidRPr="00044C8F">
        <w:rPr>
          <w:rFonts w:eastAsiaTheme="minorEastAsia"/>
          <w:szCs w:val="24"/>
        </w:rPr>
        <w:t>утилизации, обезвреживания, размещения</w:t>
      </w:r>
    </w:p>
    <w:p w:rsidR="00044C8F" w:rsidRPr="00044C8F" w:rsidRDefault="00044C8F" w:rsidP="00044C8F">
      <w:pPr>
        <w:widowControl w:val="0"/>
        <w:autoSpaceDE w:val="0"/>
        <w:autoSpaceDN w:val="0"/>
        <w:snapToGrid/>
        <w:spacing w:before="0" w:after="0"/>
        <w:ind w:firstLine="709"/>
        <w:jc w:val="center"/>
        <w:rPr>
          <w:rFonts w:eastAsiaTheme="minorEastAsia"/>
          <w:szCs w:val="24"/>
        </w:rPr>
      </w:pPr>
      <w:r w:rsidRPr="00044C8F">
        <w:rPr>
          <w:rFonts w:eastAsiaTheme="minorEastAsia"/>
          <w:szCs w:val="24"/>
        </w:rPr>
        <w:t>твердых коммунальных отходов</w:t>
      </w:r>
    </w:p>
    <w:p w:rsidR="00044C8F" w:rsidRPr="00044C8F" w:rsidRDefault="00044C8F" w:rsidP="00044C8F">
      <w:pPr>
        <w:widowControl w:val="0"/>
        <w:autoSpaceDE w:val="0"/>
        <w:autoSpaceDN w:val="0"/>
        <w:snapToGrid/>
        <w:spacing w:before="0" w:after="0"/>
        <w:ind w:firstLine="709"/>
        <w:jc w:val="center"/>
        <w:rPr>
          <w:rFonts w:eastAsiaTheme="minorEastAsia"/>
          <w:szCs w:val="24"/>
        </w:rPr>
      </w:pPr>
    </w:p>
    <w:p w:rsidR="00044C8F" w:rsidRPr="00044C8F" w:rsidRDefault="00044C8F" w:rsidP="00044C8F">
      <w:pPr>
        <w:widowControl w:val="0"/>
        <w:autoSpaceDE w:val="0"/>
        <w:autoSpaceDN w:val="0"/>
        <w:snapToGrid/>
        <w:spacing w:before="0" w:after="0"/>
        <w:ind w:firstLine="709"/>
        <w:jc w:val="both"/>
        <w:rPr>
          <w:rFonts w:eastAsiaTheme="minorEastAs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81"/>
        <w:gridCol w:w="2211"/>
        <w:gridCol w:w="2898"/>
        <w:gridCol w:w="1070"/>
      </w:tblGrid>
      <w:tr w:rsidR="00044C8F" w:rsidRPr="00044C8F" w:rsidTr="000E1213">
        <w:tc>
          <w:tcPr>
            <w:tcW w:w="510" w:type="dxa"/>
          </w:tcPr>
          <w:p w:rsidR="00044C8F" w:rsidRPr="00044C8F" w:rsidRDefault="00044C8F" w:rsidP="00044C8F">
            <w:pPr>
              <w:widowControl w:val="0"/>
              <w:autoSpaceDE w:val="0"/>
              <w:autoSpaceDN w:val="0"/>
              <w:snapToGrid/>
              <w:spacing w:before="0" w:after="0"/>
              <w:jc w:val="center"/>
              <w:rPr>
                <w:rFonts w:eastAsiaTheme="minorEastAsia"/>
                <w:szCs w:val="24"/>
              </w:rPr>
            </w:pPr>
            <w:r w:rsidRPr="00044C8F">
              <w:rPr>
                <w:rFonts w:eastAsiaTheme="minorEastAsia"/>
                <w:szCs w:val="24"/>
              </w:rPr>
              <w:t>N п/п</w:t>
            </w:r>
          </w:p>
        </w:tc>
        <w:tc>
          <w:tcPr>
            <w:tcW w:w="2381" w:type="dxa"/>
          </w:tcPr>
          <w:p w:rsidR="00044C8F" w:rsidRPr="00044C8F" w:rsidRDefault="00044C8F" w:rsidP="00044C8F">
            <w:pPr>
              <w:widowControl w:val="0"/>
              <w:autoSpaceDE w:val="0"/>
              <w:autoSpaceDN w:val="0"/>
              <w:snapToGrid/>
              <w:spacing w:before="0" w:after="0"/>
              <w:jc w:val="center"/>
              <w:rPr>
                <w:rFonts w:eastAsiaTheme="minorEastAsia"/>
                <w:szCs w:val="24"/>
              </w:rPr>
            </w:pPr>
            <w:r w:rsidRPr="00044C8F">
              <w:rPr>
                <w:rFonts w:eastAsiaTheme="minorEastAsia"/>
                <w:szCs w:val="24"/>
              </w:rPr>
              <w:t>Наименование вида ОМЗ</w:t>
            </w:r>
          </w:p>
        </w:tc>
        <w:tc>
          <w:tcPr>
            <w:tcW w:w="2211" w:type="dxa"/>
          </w:tcPr>
          <w:p w:rsidR="00044C8F" w:rsidRPr="00044C8F" w:rsidRDefault="00044C8F" w:rsidP="00044C8F">
            <w:pPr>
              <w:widowControl w:val="0"/>
              <w:autoSpaceDE w:val="0"/>
              <w:autoSpaceDN w:val="0"/>
              <w:snapToGrid/>
              <w:spacing w:before="0" w:after="0"/>
              <w:jc w:val="center"/>
              <w:rPr>
                <w:rFonts w:eastAsiaTheme="minorEastAsia"/>
                <w:szCs w:val="24"/>
              </w:rPr>
            </w:pPr>
            <w:r w:rsidRPr="00044C8F">
              <w:rPr>
                <w:rFonts w:eastAsiaTheme="minorEastAsia"/>
                <w:szCs w:val="24"/>
              </w:rPr>
              <w:t>Наименование расчетного показателя ОМЗ, единица измерения</w:t>
            </w:r>
          </w:p>
        </w:tc>
        <w:tc>
          <w:tcPr>
            <w:tcW w:w="3968" w:type="dxa"/>
            <w:gridSpan w:val="2"/>
          </w:tcPr>
          <w:p w:rsidR="00044C8F" w:rsidRPr="00044C8F" w:rsidRDefault="00044C8F" w:rsidP="00044C8F">
            <w:pPr>
              <w:widowControl w:val="0"/>
              <w:autoSpaceDE w:val="0"/>
              <w:autoSpaceDN w:val="0"/>
              <w:snapToGrid/>
              <w:spacing w:before="0" w:after="0"/>
              <w:jc w:val="center"/>
              <w:rPr>
                <w:rFonts w:eastAsiaTheme="minorEastAsia"/>
                <w:szCs w:val="24"/>
              </w:rPr>
            </w:pPr>
            <w:r w:rsidRPr="00044C8F">
              <w:rPr>
                <w:rFonts w:eastAsiaTheme="minorEastAsia"/>
                <w:szCs w:val="24"/>
              </w:rPr>
              <w:t>Предельные значения расчетных показателей</w:t>
            </w:r>
          </w:p>
        </w:tc>
      </w:tr>
      <w:tr w:rsidR="00044C8F" w:rsidRPr="00044C8F" w:rsidTr="000E1213">
        <w:tc>
          <w:tcPr>
            <w:tcW w:w="510" w:type="dxa"/>
            <w:vMerge w:val="restart"/>
          </w:tcPr>
          <w:p w:rsidR="00044C8F" w:rsidRPr="00044C8F" w:rsidRDefault="00044C8F" w:rsidP="00044C8F">
            <w:pPr>
              <w:widowControl w:val="0"/>
              <w:autoSpaceDE w:val="0"/>
              <w:autoSpaceDN w:val="0"/>
              <w:snapToGrid/>
              <w:spacing w:before="0" w:after="0"/>
              <w:jc w:val="center"/>
              <w:rPr>
                <w:rFonts w:eastAsiaTheme="minorEastAsia"/>
                <w:szCs w:val="24"/>
              </w:rPr>
            </w:pPr>
            <w:r w:rsidRPr="00044C8F">
              <w:rPr>
                <w:rFonts w:eastAsiaTheme="minorEastAsia"/>
                <w:szCs w:val="24"/>
              </w:rPr>
              <w:t>1</w:t>
            </w:r>
          </w:p>
        </w:tc>
        <w:tc>
          <w:tcPr>
            <w:tcW w:w="2381" w:type="dxa"/>
            <w:vMerge w:val="restart"/>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Полигоны твердых коммунальных отходов, объекты по обработке, утилизации, обезвреживанию и размещению твердых коммунальных отходов</w:t>
            </w:r>
          </w:p>
        </w:tc>
        <w:tc>
          <w:tcPr>
            <w:tcW w:w="2211" w:type="dxa"/>
            <w:vMerge w:val="restart"/>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Размер земельного участка предприятия и сооружения по обработке, утилизации, обезвреживанию и размещению твердых коммунальных отходов, га/1 тыс. тонн твердых коммунальных отходов в год</w:t>
            </w:r>
          </w:p>
        </w:tc>
        <w:tc>
          <w:tcPr>
            <w:tcW w:w="2898"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предприятия по промышленной обработке, утилизации, обезвреживанию и размещению твердых коммунальных отходов</w:t>
            </w:r>
          </w:p>
        </w:tc>
        <w:tc>
          <w:tcPr>
            <w:tcW w:w="1070"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0,05</w:t>
            </w:r>
          </w:p>
        </w:tc>
      </w:tr>
      <w:tr w:rsidR="00044C8F" w:rsidRPr="00044C8F" w:rsidTr="000E1213">
        <w:tc>
          <w:tcPr>
            <w:tcW w:w="510"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38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21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898"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склады свежего компоста</w:t>
            </w:r>
          </w:p>
        </w:tc>
        <w:tc>
          <w:tcPr>
            <w:tcW w:w="1070"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0,04</w:t>
            </w:r>
          </w:p>
        </w:tc>
      </w:tr>
      <w:tr w:rsidR="00044C8F" w:rsidRPr="00044C8F" w:rsidTr="000E1213">
        <w:tc>
          <w:tcPr>
            <w:tcW w:w="510"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38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21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898"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полигоны</w:t>
            </w:r>
          </w:p>
        </w:tc>
        <w:tc>
          <w:tcPr>
            <w:tcW w:w="1070"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0,02</w:t>
            </w:r>
          </w:p>
        </w:tc>
      </w:tr>
      <w:tr w:rsidR="00044C8F" w:rsidRPr="00044C8F" w:rsidTr="000E1213">
        <w:tc>
          <w:tcPr>
            <w:tcW w:w="510"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38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21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898"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поля компостирования</w:t>
            </w:r>
          </w:p>
        </w:tc>
        <w:tc>
          <w:tcPr>
            <w:tcW w:w="1070"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0,5 - 1</w:t>
            </w:r>
          </w:p>
        </w:tc>
      </w:tr>
      <w:tr w:rsidR="00044C8F" w:rsidRPr="00044C8F" w:rsidTr="000E1213">
        <w:tc>
          <w:tcPr>
            <w:tcW w:w="510"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38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21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898"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поля ассенизации</w:t>
            </w:r>
          </w:p>
        </w:tc>
        <w:tc>
          <w:tcPr>
            <w:tcW w:w="1070"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2 - 4</w:t>
            </w:r>
          </w:p>
        </w:tc>
      </w:tr>
      <w:tr w:rsidR="00044C8F" w:rsidRPr="00044C8F" w:rsidTr="000E1213">
        <w:tc>
          <w:tcPr>
            <w:tcW w:w="510"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38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21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898"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сливные станции</w:t>
            </w:r>
          </w:p>
        </w:tc>
        <w:tc>
          <w:tcPr>
            <w:tcW w:w="1070"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0,02</w:t>
            </w:r>
          </w:p>
        </w:tc>
      </w:tr>
      <w:tr w:rsidR="00044C8F" w:rsidRPr="00044C8F" w:rsidTr="000E1213">
        <w:tc>
          <w:tcPr>
            <w:tcW w:w="510"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38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21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898"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мусороперегрузочные станции</w:t>
            </w:r>
          </w:p>
        </w:tc>
        <w:tc>
          <w:tcPr>
            <w:tcW w:w="1070"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0,04</w:t>
            </w:r>
          </w:p>
        </w:tc>
      </w:tr>
      <w:tr w:rsidR="00044C8F" w:rsidRPr="00044C8F" w:rsidTr="000E1213">
        <w:tc>
          <w:tcPr>
            <w:tcW w:w="510"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38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21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898"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поля складирования и захоронения обезвреженных осадков (по сухому веществу)</w:t>
            </w:r>
          </w:p>
        </w:tc>
        <w:tc>
          <w:tcPr>
            <w:tcW w:w="1070"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0,3</w:t>
            </w:r>
          </w:p>
        </w:tc>
      </w:tr>
      <w:tr w:rsidR="00044C8F" w:rsidRPr="00044C8F" w:rsidTr="000E1213">
        <w:tc>
          <w:tcPr>
            <w:tcW w:w="510"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38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21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898"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мусоросжигательные и мусороперерабатывающие объекты</w:t>
            </w:r>
          </w:p>
        </w:tc>
        <w:tc>
          <w:tcPr>
            <w:tcW w:w="1070"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0,05</w:t>
            </w:r>
          </w:p>
        </w:tc>
      </w:tr>
      <w:tr w:rsidR="00044C8F" w:rsidRPr="00044C8F" w:rsidTr="000E1213">
        <w:tc>
          <w:tcPr>
            <w:tcW w:w="510"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381" w:type="dxa"/>
            <w:vMerge/>
          </w:tcPr>
          <w:p w:rsidR="00044C8F" w:rsidRPr="00044C8F" w:rsidRDefault="00044C8F" w:rsidP="00044C8F">
            <w:pPr>
              <w:widowControl w:val="0"/>
              <w:autoSpaceDE w:val="0"/>
              <w:autoSpaceDN w:val="0"/>
              <w:snapToGrid/>
              <w:spacing w:before="0" w:after="0"/>
              <w:rPr>
                <w:rFonts w:eastAsiaTheme="minorEastAsia"/>
                <w:szCs w:val="24"/>
              </w:rPr>
            </w:pPr>
          </w:p>
        </w:tc>
        <w:tc>
          <w:tcPr>
            <w:tcW w:w="2211" w:type="dxa"/>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Расчетный показатель максимально допустимого уровня территориальной доступности</w:t>
            </w:r>
          </w:p>
        </w:tc>
        <w:tc>
          <w:tcPr>
            <w:tcW w:w="3968" w:type="dxa"/>
            <w:gridSpan w:val="2"/>
          </w:tcPr>
          <w:p w:rsidR="00044C8F" w:rsidRPr="00044C8F" w:rsidRDefault="00044C8F" w:rsidP="00044C8F">
            <w:pPr>
              <w:widowControl w:val="0"/>
              <w:autoSpaceDE w:val="0"/>
              <w:autoSpaceDN w:val="0"/>
              <w:snapToGrid/>
              <w:spacing w:before="0" w:after="0"/>
              <w:rPr>
                <w:rFonts w:eastAsiaTheme="minorEastAsia"/>
                <w:szCs w:val="24"/>
              </w:rPr>
            </w:pPr>
            <w:r w:rsidRPr="00044C8F">
              <w:rPr>
                <w:rFonts w:eastAsiaTheme="minorEastAsia"/>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1007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044C8F">
        <w:trPr>
          <w:gridBefore w:val="1"/>
          <w:wBefore w:w="15" w:type="dxa"/>
          <w:trHeight w:val="781"/>
        </w:trPr>
        <w:tc>
          <w:tcPr>
            <w:tcW w:w="566" w:type="dxa"/>
            <w:gridSpan w:val="2"/>
          </w:tcPr>
          <w:p w:rsidR="00250594" w:rsidRPr="00250594" w:rsidRDefault="00250594" w:rsidP="00250594">
            <w:pPr>
              <w:tabs>
                <w:tab w:val="left" w:pos="3451"/>
              </w:tabs>
            </w:pPr>
            <w:r w:rsidRPr="00250594">
              <w:lastRenderedPageBreak/>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044C8F">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044C8F">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потребность расчетного населения в местах для постоянного хранения</w:t>
            </w:r>
            <w:r>
              <w:t xml:space="preserve">  </w:t>
            </w:r>
            <w:r w:rsidRPr="00250594">
              <w:t>индивидуального автомобильного</w:t>
            </w:r>
            <w:r>
              <w:t xml:space="preserve"> </w:t>
            </w:r>
            <w:r w:rsidRPr="00250594">
              <w:t xml:space="preserve">транспорта составляет </w:t>
            </w:r>
            <w:r w:rsidR="00044C8F">
              <w:t>270</w:t>
            </w:r>
            <w:r>
              <w:t xml:space="preserve">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044C8F">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044C8F">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044C8F">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044C8F">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044C8F">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044C8F">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044C8F">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044C8F">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044C8F">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044C8F" w:rsidRPr="00250594" w:rsidTr="00044C8F">
        <w:trPr>
          <w:gridAfter w:val="1"/>
          <w:wAfter w:w="12" w:type="dxa"/>
          <w:trHeight w:val="1909"/>
        </w:trPr>
        <w:tc>
          <w:tcPr>
            <w:tcW w:w="567" w:type="dxa"/>
            <w:gridSpan w:val="2"/>
            <w:vMerge w:val="restart"/>
          </w:tcPr>
          <w:p w:rsidR="00044C8F" w:rsidRPr="00250594" w:rsidRDefault="00044C8F" w:rsidP="00250594">
            <w:pPr>
              <w:tabs>
                <w:tab w:val="left" w:pos="3451"/>
              </w:tabs>
            </w:pPr>
            <w:r w:rsidRPr="00250594">
              <w:t>2</w:t>
            </w:r>
          </w:p>
        </w:tc>
        <w:tc>
          <w:tcPr>
            <w:tcW w:w="2268" w:type="dxa"/>
            <w:gridSpan w:val="3"/>
            <w:vMerge w:val="restart"/>
          </w:tcPr>
          <w:p w:rsidR="00044C8F" w:rsidRPr="00C736DE" w:rsidRDefault="00044C8F" w:rsidP="000E1213">
            <w:pPr>
              <w:tabs>
                <w:tab w:val="left" w:pos="3451"/>
              </w:tabs>
              <w:rPr>
                <w:color w:val="000000" w:themeColor="text1"/>
              </w:rPr>
            </w:pPr>
            <w:r w:rsidRPr="000E3A11">
              <w:rPr>
                <w:color w:val="000000" w:themeColor="text1"/>
              </w:rPr>
              <w:t>Озеленение территории общего пользования</w:t>
            </w:r>
          </w:p>
        </w:tc>
        <w:tc>
          <w:tcPr>
            <w:tcW w:w="3402" w:type="dxa"/>
          </w:tcPr>
          <w:p w:rsidR="00044C8F" w:rsidRPr="00C736DE" w:rsidRDefault="00044C8F" w:rsidP="000E1213">
            <w:pPr>
              <w:tabs>
                <w:tab w:val="left" w:pos="3451"/>
              </w:tabs>
              <w:rPr>
                <w:color w:val="000000" w:themeColor="text1"/>
              </w:rPr>
            </w:pPr>
            <w:r w:rsidRPr="000E3A11">
              <w:rPr>
                <w:color w:val="000000" w:themeColor="text1"/>
              </w:rPr>
              <w:t>Расчетный показатель минимально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044C8F" w:rsidRPr="00C736DE" w:rsidRDefault="00044C8F" w:rsidP="000E1213">
            <w:pPr>
              <w:tabs>
                <w:tab w:val="left" w:pos="3451"/>
              </w:tabs>
              <w:rPr>
                <w:color w:val="000000" w:themeColor="text1"/>
              </w:rPr>
            </w:pPr>
            <w:r w:rsidRPr="000E3A11">
              <w:rPr>
                <w:color w:val="000000" w:themeColor="text1"/>
              </w:rPr>
              <w:t>На территории</w:t>
            </w:r>
            <w:r w:rsidR="0022004E">
              <w:rPr>
                <w:color w:val="000000" w:themeColor="text1"/>
              </w:rPr>
              <w:t xml:space="preserve"> </w:t>
            </w:r>
            <w:r w:rsidRPr="000E3A11">
              <w:rPr>
                <w:color w:val="000000" w:themeColor="text1"/>
              </w:rPr>
              <w:t>городских поселений – 10 кв. м на 1 чел.</w:t>
            </w:r>
          </w:p>
        </w:tc>
      </w:tr>
      <w:tr w:rsidR="00044C8F" w:rsidRPr="00250594" w:rsidTr="00044C8F">
        <w:trPr>
          <w:gridAfter w:val="1"/>
          <w:wAfter w:w="12" w:type="dxa"/>
          <w:trHeight w:val="1905"/>
        </w:trPr>
        <w:tc>
          <w:tcPr>
            <w:tcW w:w="567" w:type="dxa"/>
            <w:gridSpan w:val="2"/>
            <w:vMerge/>
            <w:tcBorders>
              <w:top w:val="nil"/>
            </w:tcBorders>
          </w:tcPr>
          <w:p w:rsidR="00044C8F" w:rsidRPr="00250594" w:rsidRDefault="00044C8F" w:rsidP="00250594">
            <w:pPr>
              <w:tabs>
                <w:tab w:val="left" w:pos="3451"/>
              </w:tabs>
            </w:pPr>
          </w:p>
        </w:tc>
        <w:tc>
          <w:tcPr>
            <w:tcW w:w="2268" w:type="dxa"/>
            <w:gridSpan w:val="3"/>
            <w:vMerge/>
            <w:tcBorders>
              <w:top w:val="nil"/>
            </w:tcBorders>
          </w:tcPr>
          <w:p w:rsidR="00044C8F" w:rsidRPr="00250594" w:rsidRDefault="00044C8F" w:rsidP="00250594">
            <w:pPr>
              <w:tabs>
                <w:tab w:val="left" w:pos="3451"/>
              </w:tabs>
            </w:pPr>
          </w:p>
        </w:tc>
        <w:tc>
          <w:tcPr>
            <w:tcW w:w="3402" w:type="dxa"/>
          </w:tcPr>
          <w:p w:rsidR="00044C8F" w:rsidRPr="00C736DE" w:rsidRDefault="00044C8F" w:rsidP="000E1213">
            <w:pPr>
              <w:tabs>
                <w:tab w:val="left" w:pos="3451"/>
              </w:tabs>
              <w:rPr>
                <w:color w:val="000000" w:themeColor="text1"/>
              </w:rPr>
            </w:pPr>
            <w:r w:rsidRPr="000E3A11">
              <w:rPr>
                <w:color w:val="000000" w:themeColor="text1"/>
              </w:rPr>
              <w:t>Расчетный показатель максимально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показатель максимально 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044C8F" w:rsidRPr="00C736DE" w:rsidRDefault="00044C8F" w:rsidP="000E1213">
            <w:pPr>
              <w:tabs>
                <w:tab w:val="left" w:pos="3451"/>
              </w:tabs>
              <w:rPr>
                <w:color w:val="000000" w:themeColor="text1"/>
              </w:rPr>
            </w:pPr>
            <w:r w:rsidRPr="000E3A11">
              <w:rPr>
                <w:color w:val="000000" w:themeColor="text1"/>
              </w:rPr>
              <w:t>Не нормируется</w:t>
            </w:r>
          </w:p>
        </w:tc>
      </w:tr>
      <w:tr w:rsidR="00250594" w:rsidRPr="00250594" w:rsidTr="00044C8F">
        <w:trPr>
          <w:gridAfter w:val="1"/>
          <w:wAfter w:w="12" w:type="dxa"/>
          <w:trHeight w:val="2457"/>
        </w:trPr>
        <w:tc>
          <w:tcPr>
            <w:tcW w:w="10064" w:type="dxa"/>
            <w:gridSpan w:val="8"/>
          </w:tcPr>
          <w:p w:rsidR="00250594" w:rsidRPr="00250594" w:rsidRDefault="00044C8F" w:rsidP="00250594">
            <w:pPr>
              <w:tabs>
                <w:tab w:val="left" w:pos="3451"/>
              </w:tabs>
            </w:pPr>
            <w:r w:rsidRPr="00044C8F">
              <w:t>Примечание: за расчетный показатель потребности в озелененных территориях принимается минимально необходимая площадь озеленения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территории лесопарков, городских лесов, расположенных на землях лесного фонда и землях иных категорий.</w:t>
            </w:r>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8"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161CEB">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161CEB">
            <w:pPr>
              <w:tabs>
                <w:tab w:val="left" w:pos="3451"/>
              </w:tabs>
            </w:pPr>
            <w:r w:rsidRPr="00250594">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161CEB">
            <w:pPr>
              <w:tabs>
                <w:tab w:val="left" w:pos="3451"/>
              </w:tabs>
            </w:pPr>
            <w:r w:rsidRPr="00250594">
              <w:lastRenderedPageBreak/>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161CEB">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161CEB">
            <w:pPr>
              <w:tabs>
                <w:tab w:val="left" w:pos="3451"/>
              </w:tabs>
            </w:pPr>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161CEB">
            <w:pPr>
              <w:tabs>
                <w:tab w:val="left" w:pos="3451"/>
              </w:tabs>
            </w:pPr>
            <w:r w:rsidRPr="00250594">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161CEB">
            <w:pPr>
              <w:tabs>
                <w:tab w:val="left" w:pos="3451"/>
              </w:tabs>
            </w:pPr>
            <w:r w:rsidRPr="00250594">
              <w:t xml:space="preserve">Общественное управление: </w:t>
            </w:r>
            <w:r w:rsidR="00044C8F" w:rsidRPr="00044C8F">
              <w:t>учреждения, подведомственные областным исполнительным органам Новосибирской области</w:t>
            </w:r>
            <w:r w:rsidR="00044C8F">
              <w:t>,</w:t>
            </w:r>
            <w:r w:rsidRPr="00250594">
              <w:t xml:space="preserve">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161CEB">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r w:rsidR="00044C8F">
              <w:t xml:space="preserve"> </w:t>
            </w: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161CEB">
            <w:pPr>
              <w:tabs>
                <w:tab w:val="left" w:pos="3451"/>
              </w:tabs>
            </w:pPr>
            <w:r w:rsidRPr="00250594">
              <w:t>Объекты торговли: торговые центры, торгово-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250594">
        <w:trPr>
          <w:gridBefore w:val="1"/>
          <w:wBefore w:w="15" w:type="dxa"/>
          <w:trHeight w:val="3042"/>
        </w:trPr>
        <w:tc>
          <w:tcPr>
            <w:tcW w:w="5245" w:type="dxa"/>
          </w:tcPr>
          <w:p w:rsidR="00250594" w:rsidRPr="00250594" w:rsidRDefault="00250594" w:rsidP="00161CEB">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7D7F3AB9" wp14:editId="14FCB589">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9"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250594">
        <w:trPr>
          <w:gridBefore w:val="1"/>
          <w:wBefore w:w="15" w:type="dxa"/>
          <w:trHeight w:val="772"/>
        </w:trPr>
        <w:tc>
          <w:tcPr>
            <w:tcW w:w="5245" w:type="dxa"/>
          </w:tcPr>
          <w:p w:rsidR="00250594" w:rsidRPr="00250594" w:rsidRDefault="00250594" w:rsidP="00161CEB">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044C8F" w:rsidRPr="00250594" w:rsidTr="00250594">
        <w:trPr>
          <w:gridBefore w:val="1"/>
          <w:wBefore w:w="15" w:type="dxa"/>
          <w:trHeight w:val="772"/>
        </w:trPr>
        <w:tc>
          <w:tcPr>
            <w:tcW w:w="5245" w:type="dxa"/>
          </w:tcPr>
          <w:p w:rsidR="00044C8F" w:rsidRDefault="00044C8F" w:rsidP="00161CEB">
            <w:r w:rsidRPr="00C736DE">
              <w:t xml:space="preserve">Гостиничное обслуживание: гостиницы, </w:t>
            </w:r>
            <w:r>
              <w:t xml:space="preserve"> </w:t>
            </w:r>
          </w:p>
          <w:p w:rsidR="00044C8F" w:rsidRPr="00C736DE" w:rsidRDefault="00044C8F" w:rsidP="00161CEB">
            <w:r w:rsidRPr="00C736DE">
              <w:t>мотели</w:t>
            </w:r>
            <w:r>
              <w:t>, отели, апартаменты</w:t>
            </w:r>
          </w:p>
        </w:tc>
        <w:tc>
          <w:tcPr>
            <w:tcW w:w="2977" w:type="dxa"/>
          </w:tcPr>
          <w:p w:rsidR="00044C8F" w:rsidRPr="001E4F5E" w:rsidRDefault="00044C8F" w:rsidP="000E1213">
            <w:r w:rsidRPr="001E4F5E">
              <w:t>для объектов, средняя  площадь номеров в которых, определяемая как отношение общей площади номеров к общему количеству номеров в гостинице/аппартаментах, менее 30 кв.м</w:t>
            </w:r>
          </w:p>
          <w:p w:rsidR="00044C8F" w:rsidRPr="001E4F5E" w:rsidRDefault="00044C8F" w:rsidP="000E1213">
            <w:r w:rsidRPr="001E4F5E">
              <w:t> </w:t>
            </w:r>
          </w:p>
          <w:p w:rsidR="00044C8F" w:rsidRPr="001E4F5E" w:rsidRDefault="00044C8F" w:rsidP="000E1213">
            <w:r w:rsidRPr="001E4F5E">
              <w:t>для объектов, средняя  площадь номеров в которых, определяемая как отношение общей площади номеров к общему количеству номеров в гостинице/аппартаментах, 30 кв.м и более</w:t>
            </w:r>
          </w:p>
        </w:tc>
        <w:tc>
          <w:tcPr>
            <w:tcW w:w="1984" w:type="dxa"/>
            <w:gridSpan w:val="3"/>
          </w:tcPr>
          <w:p w:rsidR="00044C8F" w:rsidRPr="001E4F5E" w:rsidRDefault="00044C8F" w:rsidP="000E1213">
            <w:r w:rsidRPr="001E4F5E">
              <w:t> 1 на 150 кв.м площади номеров, но не менее 0,2 на 1 номер</w:t>
            </w:r>
          </w:p>
          <w:p w:rsidR="00044C8F" w:rsidRPr="001E4F5E" w:rsidRDefault="00044C8F" w:rsidP="000E1213">
            <w:r w:rsidRPr="001E4F5E">
              <w:t> </w:t>
            </w:r>
          </w:p>
          <w:p w:rsidR="00044C8F" w:rsidRPr="001E4F5E" w:rsidRDefault="00044C8F" w:rsidP="000E1213">
            <w:r w:rsidRPr="001E4F5E">
              <w:t> </w:t>
            </w:r>
          </w:p>
          <w:p w:rsidR="00044C8F" w:rsidRPr="001E4F5E" w:rsidRDefault="00044C8F" w:rsidP="000E1213">
            <w:r w:rsidRPr="001E4F5E">
              <w:t> </w:t>
            </w:r>
          </w:p>
          <w:p w:rsidR="00044C8F" w:rsidRPr="001E4F5E" w:rsidRDefault="00044C8F" w:rsidP="000E1213">
            <w:r w:rsidRPr="001E4F5E">
              <w:t> </w:t>
            </w:r>
          </w:p>
          <w:p w:rsidR="00044C8F" w:rsidRPr="001E4F5E" w:rsidRDefault="00044C8F" w:rsidP="000E1213">
            <w:r w:rsidRPr="001E4F5E">
              <w:t> 1 на 105 кв.м площади номеров, но не менее 0,5 на 1 номер</w:t>
            </w:r>
          </w:p>
          <w:p w:rsidR="00044C8F" w:rsidRPr="001E4F5E" w:rsidRDefault="00044C8F" w:rsidP="000E1213">
            <w:r w:rsidRPr="001E4F5E">
              <w:t> </w:t>
            </w:r>
          </w:p>
        </w:tc>
      </w:tr>
      <w:tr w:rsidR="00250594" w:rsidRPr="00250594" w:rsidTr="00250594">
        <w:trPr>
          <w:gridBefore w:val="1"/>
          <w:wBefore w:w="15" w:type="dxa"/>
          <w:trHeight w:val="772"/>
        </w:trPr>
        <w:tc>
          <w:tcPr>
            <w:tcW w:w="5245" w:type="dxa"/>
          </w:tcPr>
          <w:p w:rsidR="00250594" w:rsidRPr="00250594" w:rsidRDefault="00250594" w:rsidP="00161CEB">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30 посадочные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161CEB">
            <w:pPr>
              <w:tabs>
                <w:tab w:val="left" w:pos="3451"/>
              </w:tabs>
            </w:pPr>
            <w:r w:rsidRPr="00250594">
              <w:t>Физкультурно-оздоровительные комплексы: тренажерные залы, фитнес-клубы,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161CEB">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C5312"/>
    <w:multiLevelType w:val="hybridMultilevel"/>
    <w:tmpl w:val="E884C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characterSpacingControl w:val="doNotCompress"/>
  <w:compat>
    <w:compatSetting w:name="compatibilityMode" w:uri="http://schemas.microsoft.com/office/word" w:val="12"/>
  </w:compat>
  <w:rsids>
    <w:rsidRoot w:val="00DD3E5E"/>
    <w:rsid w:val="00042625"/>
    <w:rsid w:val="00044C8F"/>
    <w:rsid w:val="0004691E"/>
    <w:rsid w:val="000624C9"/>
    <w:rsid w:val="00062753"/>
    <w:rsid w:val="0006592C"/>
    <w:rsid w:val="000A19E5"/>
    <w:rsid w:val="000A373E"/>
    <w:rsid w:val="000D5DFF"/>
    <w:rsid w:val="000E3375"/>
    <w:rsid w:val="00120C42"/>
    <w:rsid w:val="001324C3"/>
    <w:rsid w:val="00161CEB"/>
    <w:rsid w:val="001A10B6"/>
    <w:rsid w:val="001C7395"/>
    <w:rsid w:val="001E3A2C"/>
    <w:rsid w:val="00200CFE"/>
    <w:rsid w:val="00203D69"/>
    <w:rsid w:val="00205001"/>
    <w:rsid w:val="002143ED"/>
    <w:rsid w:val="00215E79"/>
    <w:rsid w:val="0022004E"/>
    <w:rsid w:val="00244137"/>
    <w:rsid w:val="00250594"/>
    <w:rsid w:val="00252DEB"/>
    <w:rsid w:val="00260C3B"/>
    <w:rsid w:val="00260E90"/>
    <w:rsid w:val="00267075"/>
    <w:rsid w:val="00275894"/>
    <w:rsid w:val="00282FC9"/>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403CA6"/>
    <w:rsid w:val="00416A26"/>
    <w:rsid w:val="00426783"/>
    <w:rsid w:val="00450572"/>
    <w:rsid w:val="0046754C"/>
    <w:rsid w:val="004A45D5"/>
    <w:rsid w:val="004E356A"/>
    <w:rsid w:val="00524DF9"/>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4C8D"/>
    <w:rsid w:val="008B5032"/>
    <w:rsid w:val="008E68B2"/>
    <w:rsid w:val="009246BC"/>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C370A"/>
    <w:rsid w:val="00FC6D81"/>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 w:type="paragraph" w:styleId="a6">
    <w:name w:val="List Paragraph"/>
    <w:basedOn w:val="a"/>
    <w:uiPriority w:val="34"/>
    <w:qFormat/>
    <w:rsid w:val="00044C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 w:id="144018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0F98643E15E57DA192A0E3FxFa1I" TargetMode="External"/><Relationship Id="rId13" Type="http://schemas.openxmlformats.org/officeDocument/2006/relationships/hyperlink" Target="consultantplus://offline/ref=C95F6B648C6336C69C54F05E32FC49202E51F18640E35E57DA192A0E3FF10C555ACD80B64A44126DxCa2I" TargetMode="Externa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xFa1I" TargetMode="External"/><Relationship Id="rId12" Type="http://schemas.openxmlformats.org/officeDocument/2006/relationships/hyperlink" Target="consultantplus://offline/ref=C95F6B648C6336C69C54F05E32FC49202E51F18640E35E57DA192A0E3FF10C555ACD80B64A441267xCa1I" TargetMode="External"/><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95F6B648C6336C69C54F05E32FC49202E51F18640E35E57DA192A0E3FF10C555ACD80B64A441162xCa6I" TargetMode="External"/><Relationship Id="rId11" Type="http://schemas.openxmlformats.org/officeDocument/2006/relationships/hyperlink" Target="consultantplus://offline/ref=C95F6B648C6336C69C54F05E32FC49202E51F18640E35E57DA192A0E3FF10C555ACD80B64A441C66xCa3I" TargetMode="External"/><Relationship Id="rId5" Type="http://schemas.openxmlformats.org/officeDocument/2006/relationships/webSettings" Target="webSettings.xml"/><Relationship Id="rId15" Type="http://schemas.openxmlformats.org/officeDocument/2006/relationships/hyperlink" Target="consultantplus://offline/ref=C95F6B648C6336C69C54F05E32FC49202E51F18640E35E57DA192A0E3FF10C555ACD80B64A441162xCa6I" TargetMode="External"/><Relationship Id="rId10" Type="http://schemas.openxmlformats.org/officeDocument/2006/relationships/hyperlink" Target="consultantplus://offline/ref=C95F6B648C6336C69C54F05E32FC49202E51F18640E35E57DA192A0E3FF10C555ACD80B64A441C66xCa2I"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consultantplus://offline/ref=C95F6B648C6336C69C54F05E32FC49202E51F18640E35E57DA192A0E3FF10C555ACD80B64A441C66xCa0I" TargetMode="External"/><Relationship Id="rId14" Type="http://schemas.openxmlformats.org/officeDocument/2006/relationships/hyperlink" Target="consultantplus://offline/ref=C95F6B648C6336C69C54F05E32FC49202E51F18640E35E57DA192A0E3FF10C555ACD80B64A441C66xCa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537</TotalTime>
  <Pages>1</Pages>
  <Words>11363</Words>
  <Characters>64773</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75985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176</cp:revision>
  <dcterms:created xsi:type="dcterms:W3CDTF">2017-12-22T05:04:00Z</dcterms:created>
  <dcterms:modified xsi:type="dcterms:W3CDTF">2025-04-21T03:52:00Z</dcterms:modified>
</cp:coreProperties>
</file>